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81094" w14:textId="77777777" w:rsidR="00A44D10" w:rsidRDefault="00A44D10"/>
    <w:p w14:paraId="1069BF16" w14:textId="77777777" w:rsidR="00A44D10" w:rsidRDefault="00A44D10"/>
    <w:p w14:paraId="77D17EAE" w14:textId="77777777" w:rsidR="00A44D10" w:rsidRDefault="00A44D10"/>
    <w:p w14:paraId="5FF4510C" w14:textId="42E5754A" w:rsidR="009F7538" w:rsidRDefault="00B50682">
      <w:r>
        <w:rPr>
          <w:noProof/>
          <w:lang w:eastAsia="fr-FR"/>
        </w:rPr>
        <w:drawing>
          <wp:anchor distT="0" distB="0" distL="0" distR="0" simplePos="0" relativeHeight="251658241" behindDoc="0" locked="0" layoutInCell="1" allowOverlap="1" wp14:anchorId="5FF451C1" wp14:editId="4910CF37">
            <wp:simplePos x="0" y="0"/>
            <wp:positionH relativeFrom="margin">
              <wp:align>right</wp:align>
            </wp:positionH>
            <wp:positionV relativeFrom="paragraph">
              <wp:posOffset>-530225</wp:posOffset>
            </wp:positionV>
            <wp:extent cx="1635760" cy="525780"/>
            <wp:effectExtent l="0" t="0" r="2540" b="762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11"/>
                    <a:srcRect t="24146" r="6289" b="21147"/>
                    <a:stretch>
                      <a:fillRect/>
                    </a:stretch>
                  </pic:blipFill>
                  <pic:spPr bwMode="auto">
                    <a:xfrm>
                      <a:off x="0" y="0"/>
                      <a:ext cx="1635760" cy="525780"/>
                    </a:xfrm>
                    <a:prstGeom prst="rect">
                      <a:avLst/>
                    </a:prstGeom>
                  </pic:spPr>
                </pic:pic>
              </a:graphicData>
            </a:graphic>
          </wp:anchor>
        </w:drawing>
      </w:r>
      <w:r w:rsidR="00FB7EA9">
        <w:rPr>
          <w:noProof/>
          <w:lang w:eastAsia="fr-FR"/>
        </w:rPr>
        <w:drawing>
          <wp:anchor distT="0" distB="0" distL="0" distR="0" simplePos="0" relativeHeight="251658240" behindDoc="0" locked="0" layoutInCell="1" allowOverlap="1" wp14:anchorId="5FF451BF" wp14:editId="15D6BD9C">
            <wp:simplePos x="0" y="0"/>
            <wp:positionH relativeFrom="margin">
              <wp:align>left</wp:align>
            </wp:positionH>
            <wp:positionV relativeFrom="paragraph">
              <wp:posOffset>-495300</wp:posOffset>
            </wp:positionV>
            <wp:extent cx="1170305" cy="481965"/>
            <wp:effectExtent l="0" t="0" r="0" b="0"/>
            <wp:wrapNone/>
            <wp:docPr id="1" name="Image 2" descr="H:\_DGA\Direction Cohesion des Territoires\STR\DOC\logos\Logo RGE_QUADRI +base line 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H:\_DGA\Direction Cohesion des Territoires\STR\DOC\logos\Logo RGE_QUADRI +base line Europe.jpg"/>
                    <pic:cNvPicPr>
                      <a:picLocks noChangeAspect="1" noChangeArrowheads="1"/>
                    </pic:cNvPicPr>
                  </pic:nvPicPr>
                  <pic:blipFill>
                    <a:blip r:embed="rId12"/>
                    <a:stretch>
                      <a:fillRect/>
                    </a:stretch>
                  </pic:blipFill>
                  <pic:spPr bwMode="auto">
                    <a:xfrm>
                      <a:off x="0" y="0"/>
                      <a:ext cx="1170305" cy="481965"/>
                    </a:xfrm>
                    <a:prstGeom prst="rect">
                      <a:avLst/>
                    </a:prstGeom>
                  </pic:spPr>
                </pic:pic>
              </a:graphicData>
            </a:graphic>
          </wp:anchor>
        </w:drawing>
      </w:r>
    </w:p>
    <w:tbl>
      <w:tblPr>
        <w:tblStyle w:val="Grilledutableau"/>
        <w:tblW w:w="7371" w:type="dxa"/>
        <w:jc w:val="center"/>
        <w:shd w:val="clear" w:color="auto" w:fill="BFBFBF"/>
        <w:tblLook w:val="04A0" w:firstRow="1" w:lastRow="0" w:firstColumn="1" w:lastColumn="0" w:noHBand="0" w:noVBand="1"/>
      </w:tblPr>
      <w:tblGrid>
        <w:gridCol w:w="7371"/>
      </w:tblGrid>
      <w:tr w:rsidR="009F7538" w14:paraId="5FF4510E" w14:textId="77777777" w:rsidTr="00B50682">
        <w:trPr>
          <w:jc w:val="center"/>
        </w:trPr>
        <w:tc>
          <w:tcPr>
            <w:tcW w:w="7371" w:type="dxa"/>
            <w:tcBorders>
              <w:top w:val="nil"/>
              <w:left w:val="nil"/>
              <w:bottom w:val="nil"/>
              <w:right w:val="nil"/>
            </w:tcBorders>
            <w:shd w:val="clear" w:color="auto" w:fill="BFBFBF" w:themeFill="background1" w:themeFillShade="BF"/>
          </w:tcPr>
          <w:p w14:paraId="34BB83B8" w14:textId="4E7E5CA2" w:rsidR="00382357" w:rsidRPr="00B50682" w:rsidRDefault="00382357" w:rsidP="00A6583D">
            <w:pPr>
              <w:pStyle w:val="dispositif"/>
              <w:spacing w:after="0"/>
              <w:jc w:val="center"/>
              <w:rPr>
                <w:color w:val="auto"/>
              </w:rPr>
            </w:pPr>
            <w:r w:rsidRPr="00B50682">
              <w:rPr>
                <w:color w:val="auto"/>
              </w:rPr>
              <w:t>REFERENTIEL TECHNIQUE</w:t>
            </w:r>
          </w:p>
          <w:p w14:paraId="60B4960E" w14:textId="77777777" w:rsidR="00B50682" w:rsidRPr="00B50682" w:rsidRDefault="00B50682" w:rsidP="00A6583D">
            <w:pPr>
              <w:pStyle w:val="dispositif"/>
              <w:spacing w:after="0"/>
              <w:jc w:val="center"/>
              <w:rPr>
                <w:color w:val="auto"/>
                <w:sz w:val="20"/>
                <w:szCs w:val="20"/>
              </w:rPr>
            </w:pPr>
          </w:p>
          <w:p w14:paraId="5B1C8B74" w14:textId="5176E040" w:rsidR="009F7538" w:rsidRDefault="008E0CCD" w:rsidP="00B50682">
            <w:pPr>
              <w:pStyle w:val="dispositif"/>
              <w:spacing w:after="0"/>
              <w:ind w:right="591" w:firstLine="178"/>
              <w:jc w:val="center"/>
              <w:rPr>
                <w:color w:val="auto"/>
                <w:sz w:val="22"/>
                <w:szCs w:val="22"/>
              </w:rPr>
            </w:pPr>
            <w:r>
              <w:rPr>
                <w:color w:val="auto"/>
                <w:sz w:val="22"/>
                <w:szCs w:val="22"/>
              </w:rPr>
              <w:t>COMPLEMENT AU</w:t>
            </w:r>
            <w:r w:rsidR="00FB7EA9" w:rsidRPr="00B50682">
              <w:rPr>
                <w:color w:val="auto"/>
                <w:sz w:val="22"/>
                <w:szCs w:val="22"/>
              </w:rPr>
              <w:t xml:space="preserve"> D</w:t>
            </w:r>
            <w:r w:rsidR="00B50682">
              <w:rPr>
                <w:color w:val="auto"/>
                <w:sz w:val="22"/>
                <w:szCs w:val="22"/>
              </w:rPr>
              <w:t xml:space="preserve">ISPOSITIF DE soutien A lA LUTTE </w:t>
            </w:r>
            <w:r w:rsidR="00FB7EA9" w:rsidRPr="00B50682">
              <w:rPr>
                <w:color w:val="auto"/>
                <w:sz w:val="22"/>
                <w:szCs w:val="22"/>
              </w:rPr>
              <w:t>CONTRE LES LOGEMENTS ENERGIVORES</w:t>
            </w:r>
          </w:p>
          <w:p w14:paraId="5885E9F7" w14:textId="16694318" w:rsidR="008E0CCD" w:rsidRPr="008E0CCD" w:rsidRDefault="008E0CCD" w:rsidP="00B50682">
            <w:pPr>
              <w:pStyle w:val="dispositif"/>
              <w:spacing w:after="0"/>
              <w:ind w:right="591" w:firstLine="178"/>
              <w:jc w:val="center"/>
              <w:rPr>
                <w:color w:val="auto"/>
                <w:sz w:val="16"/>
                <w:szCs w:val="16"/>
              </w:rPr>
            </w:pPr>
            <w:r w:rsidRPr="008E0CCD">
              <w:rPr>
                <w:color w:val="auto"/>
                <w:sz w:val="16"/>
                <w:szCs w:val="16"/>
              </w:rPr>
              <w:t>(Délibération 19SP-2630 du 12/12/2019)</w:t>
            </w:r>
          </w:p>
          <w:p w14:paraId="5FF4510D" w14:textId="534D64B0" w:rsidR="00A6583D" w:rsidRPr="00A6583D" w:rsidRDefault="00A6583D" w:rsidP="00A6583D">
            <w:pPr>
              <w:pStyle w:val="dispositif"/>
              <w:spacing w:after="0"/>
              <w:jc w:val="center"/>
              <w:rPr>
                <w:sz w:val="22"/>
                <w:szCs w:val="22"/>
              </w:rPr>
            </w:pPr>
          </w:p>
        </w:tc>
      </w:tr>
    </w:tbl>
    <w:p w14:paraId="7CED004B" w14:textId="65807B11" w:rsidR="00382357" w:rsidRDefault="00382357">
      <w:pPr>
        <w:pStyle w:val="texte"/>
        <w:tabs>
          <w:tab w:val="left" w:pos="284"/>
        </w:tabs>
        <w:spacing w:after="0"/>
        <w:ind w:left="0"/>
        <w:rPr>
          <w:rFonts w:ascii="Century" w:hAnsi="Century" w:cstheme="minorHAnsi"/>
          <w:sz w:val="10"/>
          <w:szCs w:val="10"/>
        </w:rPr>
      </w:pPr>
    </w:p>
    <w:p w14:paraId="0CFE3131" w14:textId="1EEE9E9B" w:rsidR="00A941A1" w:rsidRDefault="00A941A1">
      <w:pPr>
        <w:pStyle w:val="texte"/>
        <w:tabs>
          <w:tab w:val="left" w:pos="284"/>
        </w:tabs>
        <w:spacing w:after="0"/>
        <w:ind w:left="0"/>
        <w:rPr>
          <w:rFonts w:ascii="Century" w:hAnsi="Century" w:cstheme="minorHAnsi"/>
          <w:sz w:val="10"/>
          <w:szCs w:val="10"/>
        </w:rPr>
      </w:pPr>
    </w:p>
    <w:p w14:paraId="43476F95" w14:textId="51B59C75" w:rsidR="00A941A1" w:rsidRDefault="00A941A1">
      <w:pPr>
        <w:pStyle w:val="texte"/>
        <w:tabs>
          <w:tab w:val="left" w:pos="284"/>
        </w:tabs>
        <w:spacing w:after="0"/>
        <w:ind w:left="0"/>
        <w:rPr>
          <w:rFonts w:ascii="Century" w:hAnsi="Century" w:cstheme="minorHAnsi"/>
          <w:sz w:val="10"/>
          <w:szCs w:val="10"/>
        </w:rPr>
      </w:pPr>
    </w:p>
    <w:p w14:paraId="3F40050D" w14:textId="77777777" w:rsidR="00A4201E" w:rsidRPr="007F50C9" w:rsidRDefault="00A4201E">
      <w:pPr>
        <w:pStyle w:val="texte"/>
        <w:tabs>
          <w:tab w:val="left" w:pos="284"/>
        </w:tabs>
        <w:spacing w:after="0"/>
        <w:ind w:left="0"/>
        <w:rPr>
          <w:rFonts w:ascii="Century" w:hAnsi="Century" w:cstheme="minorHAnsi"/>
          <w:sz w:val="10"/>
          <w:szCs w:val="10"/>
        </w:rPr>
      </w:pPr>
    </w:p>
    <w:p w14:paraId="5FF45116" w14:textId="62113968" w:rsidR="009F7538" w:rsidRDefault="00FB7EA9">
      <w:pPr>
        <w:pStyle w:val="titre10"/>
        <w:numPr>
          <w:ilvl w:val="0"/>
          <w:numId w:val="1"/>
        </w:numPr>
        <w:ind w:left="284" w:hanging="284"/>
      </w:pPr>
      <w:r>
        <w:t>CADRE GENERAL</w:t>
      </w:r>
    </w:p>
    <w:p w14:paraId="7EB9F838" w14:textId="504EDDDB" w:rsidR="00D42FA9" w:rsidRDefault="005D1A35" w:rsidP="00D42FA9">
      <w:pPr>
        <w:pStyle w:val="texte"/>
      </w:pPr>
      <w:r>
        <w:t>Ce référentiel vise</w:t>
      </w:r>
      <w:r w:rsidR="00D42FA9">
        <w:t xml:space="preserve"> à apporter les éléments techniques nécessaires à la mise en application du</w:t>
      </w:r>
      <w:r>
        <w:t xml:space="preserve"> </w:t>
      </w:r>
      <w:r w:rsidR="00D42FA9">
        <w:t xml:space="preserve">dispositif de lutte contre les logements énergivores, </w:t>
      </w:r>
      <w:r>
        <w:t>rénovés dans le cadre d’opérations collectives</w:t>
      </w:r>
      <w:r w:rsidR="00A941A1">
        <w:t xml:space="preserve"> et dans un parcours </w:t>
      </w:r>
      <w:r w:rsidR="00D42FA9">
        <w:t xml:space="preserve">BBC </w:t>
      </w:r>
      <w:r w:rsidR="00A941A1">
        <w:t>compatible, visant :</w:t>
      </w:r>
    </w:p>
    <w:p w14:paraId="7079C574" w14:textId="524AF727" w:rsidR="00D42FA9" w:rsidRDefault="00D42FA9" w:rsidP="00705B61">
      <w:pPr>
        <w:pStyle w:val="texte"/>
        <w:numPr>
          <w:ilvl w:val="0"/>
          <w:numId w:val="8"/>
        </w:numPr>
        <w:spacing w:after="0"/>
      </w:pPr>
      <w:r>
        <w:t>pour les appartement</w:t>
      </w:r>
      <w:r w:rsidR="00A4201E">
        <w:t>s</w:t>
      </w:r>
      <w:r>
        <w:t>, l’</w:t>
      </w:r>
      <w:r w:rsidR="00A941A1">
        <w:t>atteinte de l’étiquette</w:t>
      </w:r>
      <w:r>
        <w:t xml:space="preserve"> C après travaux,</w:t>
      </w:r>
    </w:p>
    <w:p w14:paraId="14B3ECEE" w14:textId="0E498660" w:rsidR="00D42FA9" w:rsidRDefault="00D42FA9" w:rsidP="00705B61">
      <w:pPr>
        <w:pStyle w:val="texte"/>
        <w:numPr>
          <w:ilvl w:val="0"/>
          <w:numId w:val="8"/>
        </w:numPr>
        <w:spacing w:after="0"/>
      </w:pPr>
      <w:r>
        <w:t xml:space="preserve">pour </w:t>
      </w:r>
      <w:r w:rsidR="00A4201E">
        <w:t>les maison</w:t>
      </w:r>
      <w:r w:rsidR="007317B5">
        <w:t xml:space="preserve">s, </w:t>
      </w:r>
      <w:r>
        <w:t>la réalisation d’un</w:t>
      </w:r>
      <w:r w:rsidR="00A941A1">
        <w:t xml:space="preserve"> bouquet de deux travaux</w:t>
      </w:r>
      <w:r w:rsidR="00A4201E">
        <w:t xml:space="preserve"> et de </w:t>
      </w:r>
      <w:r w:rsidR="00A941A1">
        <w:t>la ventilation.</w:t>
      </w:r>
    </w:p>
    <w:p w14:paraId="5A70852B" w14:textId="617EA936" w:rsidR="00A941A1" w:rsidRDefault="00A941A1" w:rsidP="00A941A1">
      <w:pPr>
        <w:pStyle w:val="texte"/>
        <w:spacing w:after="0"/>
        <w:ind w:left="644"/>
      </w:pPr>
    </w:p>
    <w:p w14:paraId="532E7780" w14:textId="77777777" w:rsidR="00A44D10" w:rsidRPr="00C2013F" w:rsidRDefault="00A44D10" w:rsidP="00A941A1">
      <w:pPr>
        <w:pStyle w:val="texte"/>
        <w:spacing w:after="0"/>
        <w:ind w:left="644"/>
      </w:pPr>
    </w:p>
    <w:p w14:paraId="5FF45117" w14:textId="315FD853" w:rsidR="009F7538" w:rsidRDefault="00FB7EA9" w:rsidP="007F50C9">
      <w:pPr>
        <w:pStyle w:val="titre20"/>
        <w:tabs>
          <w:tab w:val="clear" w:pos="284"/>
        </w:tabs>
        <w:ind w:left="0"/>
      </w:pPr>
      <w:r>
        <w:t>Niveau de performance</w:t>
      </w:r>
      <w:r w:rsidR="005D00BC">
        <w:t xml:space="preserve">  </w:t>
      </w:r>
    </w:p>
    <w:p w14:paraId="2E0EE3FB" w14:textId="7EC0FACF" w:rsidR="00382357" w:rsidRDefault="00FB7EA9" w:rsidP="007F50C9">
      <w:pPr>
        <w:tabs>
          <w:tab w:val="clear" w:pos="284"/>
          <w:tab w:val="left" w:pos="0"/>
        </w:tabs>
      </w:pPr>
      <w:r>
        <w:t>Une rénovation énergétique complète et performante comprend</w:t>
      </w:r>
      <w:r w:rsidR="00382357">
        <w:t xml:space="preserve"> : </w:t>
      </w:r>
    </w:p>
    <w:p w14:paraId="4C62DD2C" w14:textId="77777777" w:rsidR="00382357" w:rsidRPr="005D00BC" w:rsidRDefault="00382357">
      <w:pPr>
        <w:ind w:left="284"/>
        <w:rPr>
          <w:sz w:val="14"/>
          <w:szCs w:val="14"/>
        </w:rPr>
      </w:pPr>
    </w:p>
    <w:p w14:paraId="4A90F713" w14:textId="77777777" w:rsidR="00382357" w:rsidRDefault="00FB7EA9" w:rsidP="00382357">
      <w:pPr>
        <w:pStyle w:val="Paragraphedeliste"/>
        <w:numPr>
          <w:ilvl w:val="0"/>
          <w:numId w:val="7"/>
        </w:numPr>
        <w:rPr>
          <w:rFonts w:eastAsia="Calibri"/>
        </w:rPr>
      </w:pPr>
      <w:r>
        <w:t>l’</w:t>
      </w:r>
      <w:r w:rsidRPr="00382357">
        <w:rPr>
          <w:rFonts w:eastAsia="Calibri"/>
        </w:rPr>
        <w:t>isolation thermique de la toiture, des murs, du plancher bas,</w:t>
      </w:r>
    </w:p>
    <w:p w14:paraId="7D55246B" w14:textId="77777777" w:rsidR="00382357" w:rsidRDefault="00FB7EA9" w:rsidP="00382357">
      <w:pPr>
        <w:pStyle w:val="Paragraphedeliste"/>
        <w:numPr>
          <w:ilvl w:val="0"/>
          <w:numId w:val="7"/>
        </w:numPr>
        <w:rPr>
          <w:rFonts w:eastAsia="Calibri"/>
        </w:rPr>
      </w:pPr>
      <w:r w:rsidRPr="00382357">
        <w:rPr>
          <w:rFonts w:eastAsia="Calibri"/>
        </w:rPr>
        <w:t xml:space="preserve"> l’installation de menuiseries</w:t>
      </w:r>
      <w:r w:rsidR="002C2260" w:rsidRPr="00382357">
        <w:rPr>
          <w:rFonts w:eastAsia="Calibri"/>
        </w:rPr>
        <w:t xml:space="preserve"> et de vitrages</w:t>
      </w:r>
      <w:r w:rsidRPr="00382357">
        <w:rPr>
          <w:rFonts w:eastAsia="Calibri"/>
        </w:rPr>
        <w:t xml:space="preserve"> performants,</w:t>
      </w:r>
    </w:p>
    <w:p w14:paraId="540B1C0A" w14:textId="77777777" w:rsidR="00382357" w:rsidRDefault="00FB7EA9" w:rsidP="00382357">
      <w:pPr>
        <w:pStyle w:val="Paragraphedeliste"/>
        <w:numPr>
          <w:ilvl w:val="0"/>
          <w:numId w:val="7"/>
        </w:numPr>
        <w:rPr>
          <w:rFonts w:eastAsia="Calibri"/>
        </w:rPr>
      </w:pPr>
      <w:r w:rsidRPr="00382357">
        <w:rPr>
          <w:rFonts w:eastAsia="Calibri"/>
        </w:rPr>
        <w:t xml:space="preserve"> le traitement de l’étanchéité à l’air du bâti, </w:t>
      </w:r>
    </w:p>
    <w:p w14:paraId="31017920" w14:textId="77777777" w:rsidR="00382357" w:rsidRDefault="00FB7EA9" w:rsidP="00382357">
      <w:pPr>
        <w:pStyle w:val="Paragraphedeliste"/>
        <w:numPr>
          <w:ilvl w:val="0"/>
          <w:numId w:val="7"/>
        </w:numPr>
        <w:rPr>
          <w:rFonts w:eastAsia="Calibri"/>
        </w:rPr>
      </w:pPr>
      <w:r w:rsidRPr="00382357">
        <w:rPr>
          <w:rFonts w:eastAsia="Calibri"/>
        </w:rPr>
        <w:t>l’installation d’un système de ventilation</w:t>
      </w:r>
    </w:p>
    <w:p w14:paraId="5FF45118" w14:textId="4AFFB336" w:rsidR="009F7538" w:rsidRPr="00382357" w:rsidRDefault="00382357" w:rsidP="00382357">
      <w:pPr>
        <w:pStyle w:val="Paragraphedeliste"/>
        <w:numPr>
          <w:ilvl w:val="0"/>
          <w:numId w:val="7"/>
        </w:numPr>
        <w:rPr>
          <w:rFonts w:eastAsia="Calibri"/>
        </w:rPr>
      </w:pPr>
      <w:r>
        <w:rPr>
          <w:rFonts w:eastAsia="Calibri"/>
        </w:rPr>
        <w:t>l</w:t>
      </w:r>
      <w:r w:rsidR="00FB7EA9" w:rsidRPr="00382357">
        <w:rPr>
          <w:rFonts w:eastAsia="Calibri"/>
        </w:rPr>
        <w:t>’adaptation du système de chauffage au nouveau besoin de chauffage</w:t>
      </w:r>
      <w:r w:rsidR="002C2260" w:rsidRPr="00382357">
        <w:rPr>
          <w:rFonts w:eastAsia="Calibri"/>
        </w:rPr>
        <w:t xml:space="preserve"> et de rafraîchissement</w:t>
      </w:r>
      <w:r w:rsidR="00FB7EA9" w:rsidRPr="00382357">
        <w:rPr>
          <w:rFonts w:eastAsia="Calibri"/>
        </w:rPr>
        <w:t>.</w:t>
      </w:r>
    </w:p>
    <w:p w14:paraId="5FF45119" w14:textId="77777777" w:rsidR="009F7538" w:rsidRDefault="009F7538">
      <w:pPr>
        <w:ind w:left="284"/>
        <w:rPr>
          <w:rFonts w:eastAsia="Calibri"/>
        </w:rPr>
      </w:pPr>
    </w:p>
    <w:p w14:paraId="5FF4511C" w14:textId="4113F9E2" w:rsidR="009F7538" w:rsidRDefault="00FB7EA9" w:rsidP="007F50C9">
      <w:pPr>
        <w:tabs>
          <w:tab w:val="clear" w:pos="284"/>
          <w:tab w:val="left" w:pos="0"/>
        </w:tabs>
        <w:rPr>
          <w:rFonts w:eastAsia="Calibri"/>
        </w:rPr>
      </w:pPr>
      <w:r>
        <w:rPr>
          <w:rFonts w:eastAsia="Calibri"/>
        </w:rPr>
        <w:t xml:space="preserve">Bien que la rénovation globale soit </w:t>
      </w:r>
      <w:r w:rsidR="002C2260">
        <w:rPr>
          <w:rFonts w:eastAsia="Calibri"/>
        </w:rPr>
        <w:t>le scénario idéal</w:t>
      </w:r>
      <w:r>
        <w:rPr>
          <w:rFonts w:eastAsia="Calibri"/>
        </w:rPr>
        <w:t>, un scénario moins ambitieux</w:t>
      </w:r>
      <w:r w:rsidR="00600905">
        <w:rPr>
          <w:rFonts w:eastAsia="Calibri"/>
        </w:rPr>
        <w:t xml:space="preserve"> peut être envisagé</w:t>
      </w:r>
      <w:r>
        <w:rPr>
          <w:rFonts w:eastAsia="Calibri"/>
        </w:rPr>
        <w:t xml:space="preserve">, </w:t>
      </w:r>
      <w:r w:rsidR="00382357">
        <w:rPr>
          <w:rFonts w:eastAsia="Calibri"/>
        </w:rPr>
        <w:t>(</w:t>
      </w:r>
      <w:r>
        <w:rPr>
          <w:rFonts w:eastAsia="Calibri"/>
        </w:rPr>
        <w:t xml:space="preserve">impossibilité technique ou </w:t>
      </w:r>
      <w:r w:rsidR="00885A90">
        <w:rPr>
          <w:rFonts w:eastAsia="Calibri"/>
        </w:rPr>
        <w:t>solution plus</w:t>
      </w:r>
      <w:r w:rsidR="00382357">
        <w:rPr>
          <w:rFonts w:eastAsia="Calibri"/>
        </w:rPr>
        <w:t xml:space="preserve"> adapté</w:t>
      </w:r>
      <w:r w:rsidR="00885A90">
        <w:rPr>
          <w:rFonts w:eastAsia="Calibri"/>
        </w:rPr>
        <w:t>e</w:t>
      </w:r>
      <w:r w:rsidR="00382357">
        <w:rPr>
          <w:rFonts w:eastAsia="Calibri"/>
        </w:rPr>
        <w:t xml:space="preserve"> </w:t>
      </w:r>
      <w:r w:rsidR="00B50682">
        <w:rPr>
          <w:rFonts w:eastAsia="Calibri"/>
        </w:rPr>
        <w:t>au</w:t>
      </w:r>
      <w:r w:rsidR="00382357">
        <w:rPr>
          <w:rFonts w:eastAsia="Calibri"/>
        </w:rPr>
        <w:t xml:space="preserve"> budget</w:t>
      </w:r>
      <w:r w:rsidR="00B50682">
        <w:rPr>
          <w:rFonts w:eastAsia="Calibri"/>
        </w:rPr>
        <w:t xml:space="preserve"> du bénéficiaire</w:t>
      </w:r>
      <w:r w:rsidR="00382357">
        <w:rPr>
          <w:rFonts w:eastAsia="Calibri"/>
        </w:rPr>
        <w:t>).</w:t>
      </w:r>
      <w:r>
        <w:rPr>
          <w:rFonts w:eastAsia="Calibri"/>
        </w:rPr>
        <w:t xml:space="preserve">Ce référentiel </w:t>
      </w:r>
      <w:r w:rsidR="00A941A1">
        <w:rPr>
          <w:rFonts w:eastAsia="Calibri"/>
        </w:rPr>
        <w:t>pose donc</w:t>
      </w:r>
      <w:r>
        <w:rPr>
          <w:rFonts w:eastAsia="Calibri"/>
        </w:rPr>
        <w:t xml:space="preserve"> les bases d’une approche visant à concilier la rénovation de logements détenus par des ménages modestes et très modestes avec l’ambition d’une performance énergétique globale qu’il sera possible d’atteindre par étapes sans qu’il soit nécessaire de revenir sur les travaux qui ont été engagés lors de l’étape précédente.</w:t>
      </w:r>
    </w:p>
    <w:p w14:paraId="366632A3" w14:textId="44C9AA57" w:rsidR="00A941A1" w:rsidRDefault="00A941A1" w:rsidP="007F50C9">
      <w:pPr>
        <w:tabs>
          <w:tab w:val="clear" w:pos="284"/>
          <w:tab w:val="left" w:pos="0"/>
        </w:tabs>
        <w:rPr>
          <w:rFonts w:eastAsia="Calibri"/>
        </w:rPr>
      </w:pPr>
    </w:p>
    <w:p w14:paraId="0798B7CE" w14:textId="77777777" w:rsidR="00A44D10" w:rsidRDefault="00A44D10" w:rsidP="007F50C9">
      <w:pPr>
        <w:tabs>
          <w:tab w:val="clear" w:pos="284"/>
          <w:tab w:val="left" w:pos="0"/>
        </w:tabs>
        <w:rPr>
          <w:rFonts w:eastAsia="Calibri"/>
        </w:rPr>
      </w:pPr>
    </w:p>
    <w:p w14:paraId="5FF4511D" w14:textId="77777777" w:rsidR="009F7538" w:rsidRDefault="00FB7EA9" w:rsidP="007F50C9">
      <w:pPr>
        <w:pStyle w:val="titre20"/>
        <w:ind w:left="0"/>
      </w:pPr>
      <w:r>
        <w:t>Prescriptions générales</w:t>
      </w:r>
    </w:p>
    <w:p w14:paraId="5FF4511E" w14:textId="7EB45B21" w:rsidR="009F7538" w:rsidRDefault="00FB7EA9">
      <w:r>
        <w:t>Les travaux</w:t>
      </w:r>
      <w:r w:rsidR="00243280">
        <w:t xml:space="preserve"> prescrits</w:t>
      </w:r>
      <w:r>
        <w:t xml:space="preserve"> doivent : </w:t>
      </w:r>
    </w:p>
    <w:p w14:paraId="5FF4511F" w14:textId="77777777" w:rsidR="009F7538" w:rsidRDefault="00FB7EA9">
      <w:pPr>
        <w:pStyle w:val="Paragraphedeliste"/>
        <w:numPr>
          <w:ilvl w:val="0"/>
          <w:numId w:val="3"/>
        </w:numPr>
      </w:pPr>
      <w:r>
        <w:t>permettre l’atteinte à terme, du niveau BBC-rénovation après travaux, et peuvent être séquencées en étapes,</w:t>
      </w:r>
    </w:p>
    <w:p w14:paraId="5FF45120" w14:textId="77777777" w:rsidR="009F7538" w:rsidRDefault="00FB7EA9">
      <w:pPr>
        <w:pStyle w:val="Paragraphedeliste"/>
        <w:numPr>
          <w:ilvl w:val="0"/>
          <w:numId w:val="3"/>
        </w:numPr>
      </w:pPr>
      <w:r>
        <w:t xml:space="preserve">être conformes à la Réglementation Thermique Existant par élément, </w:t>
      </w:r>
    </w:p>
    <w:p w14:paraId="5FF45121" w14:textId="77777777" w:rsidR="009F7538" w:rsidRDefault="00FB7EA9">
      <w:pPr>
        <w:pStyle w:val="Paragraphedeliste"/>
        <w:numPr>
          <w:ilvl w:val="0"/>
          <w:numId w:val="3"/>
        </w:numPr>
      </w:pPr>
      <w:r>
        <w:t>permettre au maître d’ouvrage d’être éligible aux subventions, aides et avantages fiscaux dont il peut bénéficier dans le cadre d’un projet de rénovation énergétique, aussi bien pour les systèmes (chauffage, ECS, ventilation,...) que pour les composants de l’enveloppe.</w:t>
      </w:r>
    </w:p>
    <w:p w14:paraId="5FF45122" w14:textId="77777777" w:rsidR="009F7538" w:rsidRDefault="009F7538"/>
    <w:p w14:paraId="5FF45123" w14:textId="503D5E6D" w:rsidR="00A941A1" w:rsidRDefault="00FB7EA9">
      <w:r>
        <w:t>La mise en œuvre des produits doit tenir compte de leurs aptitudes d’emploi définies par les normes de l’AFNOR, des DTU et des avis techniques, des agréments techniques européens, des cahiers de prescriptions techniques du CSTB ou des règles techniques professionnelles, ainsi que l’ensemble des réglementations en vigueur au jour de la pose.</w:t>
      </w:r>
    </w:p>
    <w:p w14:paraId="5D5C4B3F" w14:textId="77777777" w:rsidR="00A941A1" w:rsidRDefault="00A941A1">
      <w:pPr>
        <w:tabs>
          <w:tab w:val="clear" w:pos="284"/>
        </w:tabs>
        <w:jc w:val="left"/>
      </w:pPr>
      <w:r>
        <w:br w:type="page"/>
      </w:r>
    </w:p>
    <w:p w14:paraId="3E4DF85A" w14:textId="77777777" w:rsidR="009F7538" w:rsidRDefault="009F7538"/>
    <w:p w14:paraId="5FF45125" w14:textId="77777777" w:rsidR="009F7538" w:rsidRDefault="00FB7EA9" w:rsidP="007F50C9">
      <w:pPr>
        <w:pStyle w:val="titre20"/>
        <w:ind w:left="0"/>
      </w:pPr>
      <w:r>
        <w:t>Isolation des parois opaques</w:t>
      </w:r>
    </w:p>
    <w:p w14:paraId="5FF45126" w14:textId="77777777" w:rsidR="009F7538" w:rsidRDefault="00FB7EA9">
      <w:r>
        <w:t>L’isolation des parois doit faire appel à des produits possédant des caractéristiques de performances validées :</w:t>
      </w:r>
    </w:p>
    <w:p w14:paraId="5FF45127" w14:textId="77777777" w:rsidR="009F7538" w:rsidRDefault="00FB7EA9">
      <w:pPr>
        <w:pStyle w:val="Paragraphedeliste"/>
        <w:numPr>
          <w:ilvl w:val="0"/>
          <w:numId w:val="2"/>
        </w:numPr>
      </w:pPr>
      <w:r>
        <w:t>soit par la marque de certification de produit ACERMI,</w:t>
      </w:r>
    </w:p>
    <w:p w14:paraId="5FF45128" w14:textId="77777777" w:rsidR="009F7538" w:rsidRDefault="00FB7EA9">
      <w:pPr>
        <w:pStyle w:val="Paragraphedeliste"/>
        <w:numPr>
          <w:ilvl w:val="0"/>
          <w:numId w:val="2"/>
        </w:numPr>
      </w:pPr>
      <w:r>
        <w:t>soit par un avis technique valide du CSTB avec suivi CTAT (</w:t>
      </w:r>
      <w:r w:rsidRPr="00885A90">
        <w:rPr>
          <w:sz w:val="16"/>
          <w:szCs w:val="16"/>
        </w:rPr>
        <w:t>Comité technique de l’avis technique</w:t>
      </w:r>
      <w:r>
        <w:t>),</w:t>
      </w:r>
    </w:p>
    <w:p w14:paraId="5FF45129" w14:textId="6599E6E1" w:rsidR="009F7538" w:rsidRDefault="00FB7EA9" w:rsidP="007F50C9">
      <w:pPr>
        <w:pStyle w:val="Paragraphedeliste"/>
        <w:numPr>
          <w:ilvl w:val="0"/>
          <w:numId w:val="2"/>
        </w:numPr>
        <w:spacing w:line="240" w:lineRule="auto"/>
        <w:ind w:left="714" w:hanging="357"/>
      </w:pPr>
      <w:r>
        <w:t xml:space="preserve">soit par un document technique d’application (DTA) valide du CSTB avec suivi CTAT, </w:t>
      </w:r>
      <w:r w:rsidR="00885A90">
        <w:t>ou</w:t>
      </w:r>
      <w:r>
        <w:t xml:space="preserve"> des caractéristiques de performances et de qualités équivalentes établies par un organisme établi dans l’espace économique européen et accrédité selon les normes NF EN ISO/CEI 17025 et NF 45011 par </w:t>
      </w:r>
      <w:r>
        <w:lastRenderedPageBreak/>
        <w:t>le comité français d’accréditation (COFRAC) ou tout autre organisme d’accréditation signataire de l’accord européen multilatéral pertinent pris dans le cadre de European co-operation for Accreditation (EA), coordination européenne des organismes d’accréditation</w:t>
      </w:r>
      <w:r w:rsidR="007F50C9">
        <w:t>.</w:t>
      </w:r>
    </w:p>
    <w:p w14:paraId="5C3B3F32" w14:textId="77777777" w:rsidR="007F50C9" w:rsidRDefault="007F50C9" w:rsidP="007F50C9">
      <w:pPr>
        <w:pStyle w:val="Paragraphedeliste"/>
        <w:spacing w:line="240" w:lineRule="auto"/>
        <w:ind w:left="714"/>
      </w:pPr>
    </w:p>
    <w:p w14:paraId="5FF4512A" w14:textId="18636293" w:rsidR="009F7538" w:rsidRDefault="00FB7EA9">
      <w:r>
        <w:t>Dans le cas de recours à des produits biosourcés ou innovants ne pouvant pas répondre aux prescriptions ci-dessus, leur utilisation et mise en œuvre feront l’objet d’une validation par la collectivité en charge du programme, afin de s’assurer de leurs performances et de la pérennité du bâti.</w:t>
      </w:r>
    </w:p>
    <w:p w14:paraId="37C95255" w14:textId="77777777" w:rsidR="00EF3C3D" w:rsidRDefault="00EF3C3D"/>
    <w:p w14:paraId="5FF4512D" w14:textId="77777777" w:rsidR="009F7538" w:rsidRDefault="00FB7EA9" w:rsidP="007F50C9">
      <w:pPr>
        <w:pStyle w:val="titre20"/>
        <w:ind w:left="0"/>
      </w:pPr>
      <w:r>
        <w:t>Humidité dans les parois</w:t>
      </w:r>
    </w:p>
    <w:p w14:paraId="5FF4512E" w14:textId="77777777" w:rsidR="009F7538" w:rsidRDefault="00FB7EA9">
      <w:r>
        <w:t xml:space="preserve">Les prescriptions du rapport « La migration d’humidité et de vapeur d’eau dans les parois du bâti ancien », réalisé par Enertech pour la Région Grand Est et l’ADEME, doivent être respectées. </w:t>
      </w:r>
    </w:p>
    <w:p w14:paraId="5FF4512F" w14:textId="77777777" w:rsidR="009F7538" w:rsidRDefault="00FB7EA9">
      <w:r>
        <w:t xml:space="preserve">Le rapport est téléchargeable au lien suivant : </w:t>
      </w:r>
      <w:hyperlink r:id="rId13">
        <w:r>
          <w:rPr>
            <w:rStyle w:val="LienInternet"/>
            <w:rFonts w:cs="Times New Roman"/>
            <w:sz w:val="18"/>
            <w:szCs w:val="18"/>
          </w:rPr>
          <w:t>rapport « La migration d’humidité et de vapeur d’eau dans les parois du bâti ancien »</w:t>
        </w:r>
      </w:hyperlink>
      <w:r>
        <w:t>.</w:t>
      </w:r>
    </w:p>
    <w:p w14:paraId="5FF45130" w14:textId="77777777" w:rsidR="009F7538" w:rsidRDefault="00FB7EA9">
      <w:r>
        <w:t>Ce document est une synthèse bibliographique pour la rénovation performante à destination des concepteurs et des artisans. Les études portent sur les murs anciens, qu’ils soient en béton, pierre, parpaing, pisé ou encore à pan de bois, et sur les toitures. Des bonnes pratiques et des points de vigilance illustrent ce document technique.</w:t>
      </w:r>
    </w:p>
    <w:p w14:paraId="5FF45131" w14:textId="77777777" w:rsidR="009F7538" w:rsidRDefault="009F7538"/>
    <w:p w14:paraId="5FF45132" w14:textId="77777777" w:rsidR="009F7538" w:rsidRDefault="00FB7EA9">
      <w:pPr>
        <w:pStyle w:val="titre10"/>
        <w:numPr>
          <w:ilvl w:val="0"/>
          <w:numId w:val="1"/>
        </w:numPr>
        <w:ind w:left="284" w:hanging="284"/>
      </w:pPr>
      <w:r>
        <w:t>Méthodes</w:t>
      </w:r>
    </w:p>
    <w:p w14:paraId="5FF45133" w14:textId="07090AEB" w:rsidR="009F7538" w:rsidRDefault="00FB7EA9">
      <w:r>
        <w:t>L’opérateur et le maître d’ouvrage ont le choix entre plusieurs méthodes permettant de démontrer le respect du niveau de performance énergétique à atteindre dans le cadre des projets accompagnés :</w:t>
      </w:r>
    </w:p>
    <w:p w14:paraId="00F49B76" w14:textId="77777777" w:rsidR="00382357" w:rsidRDefault="00382357"/>
    <w:p w14:paraId="5FF45134" w14:textId="77777777" w:rsidR="009F7538" w:rsidRDefault="00FB7EA9">
      <w:pPr>
        <w:pStyle w:val="Paragraphedeliste"/>
        <w:numPr>
          <w:ilvl w:val="0"/>
          <w:numId w:val="2"/>
        </w:numPr>
      </w:pPr>
      <w:r>
        <w:t xml:space="preserve">par combinatoires de travaux pour les maisons individuelles, </w:t>
      </w:r>
    </w:p>
    <w:p w14:paraId="5FF45135" w14:textId="77777777" w:rsidR="009F7538" w:rsidRDefault="00FB7EA9">
      <w:pPr>
        <w:pStyle w:val="Paragraphedeliste"/>
        <w:numPr>
          <w:ilvl w:val="0"/>
          <w:numId w:val="2"/>
        </w:numPr>
      </w:pPr>
      <w:r>
        <w:t xml:space="preserve">par étude thermique pour les appartements, </w:t>
      </w:r>
    </w:p>
    <w:p w14:paraId="5FF45136" w14:textId="77777777" w:rsidR="009F7538" w:rsidRDefault="009F7538"/>
    <w:p w14:paraId="5FF45137" w14:textId="5FE06F5B" w:rsidR="009F7538" w:rsidRDefault="00FB7EA9">
      <w:r>
        <w:t>Chacune des méthodes est détaillée dans les chapitres suivants.</w:t>
      </w:r>
    </w:p>
    <w:p w14:paraId="401CF1EA" w14:textId="64F1C687" w:rsidR="00382357" w:rsidRDefault="00382357"/>
    <w:p w14:paraId="2A5A24D3" w14:textId="77777777" w:rsidR="00A941A1" w:rsidRDefault="00A941A1"/>
    <w:p w14:paraId="5FF45138" w14:textId="77777777" w:rsidR="009F7538" w:rsidRDefault="00FB7EA9" w:rsidP="007F50C9">
      <w:pPr>
        <w:pStyle w:val="titre20"/>
        <w:tabs>
          <w:tab w:val="clear" w:pos="284"/>
          <w:tab w:val="left" w:pos="0"/>
        </w:tabs>
        <w:ind w:left="0"/>
      </w:pPr>
      <w:r>
        <w:t>Méthode par combinatoires de travaux (ou Solutions Techniques de Référence) pour les maisons individuelles</w:t>
      </w:r>
    </w:p>
    <w:p w14:paraId="5FF45139" w14:textId="7463D04A" w:rsidR="009F7538" w:rsidRDefault="00FB7EA9">
      <w:r>
        <w:t xml:space="preserve">Cette méthode s’appuie sur les Solutions Techniques de Rénovation (STR) développée par le bureau d’études Enertech. Elle s’appuie sur </w:t>
      </w:r>
      <w:r w:rsidR="00C47804">
        <w:t>33</w:t>
      </w:r>
      <w:r>
        <w:t xml:space="preserve"> combinatoires de travaux permettant d’atteindre une consommation après rénovation </w:t>
      </w:r>
      <w:r w:rsidR="00C47804">
        <w:t>d’étiquette énergétique A ou B</w:t>
      </w:r>
      <w:r>
        <w:t>.</w:t>
      </w:r>
    </w:p>
    <w:p w14:paraId="343AACDB" w14:textId="77777777" w:rsidR="00A941A1" w:rsidRDefault="00A941A1"/>
    <w:p w14:paraId="2EB39345" w14:textId="41AD9B6F" w:rsidR="008052B5" w:rsidRDefault="00FB7EA9" w:rsidP="008052B5">
      <w:r>
        <w:t>Les STR ont été développées dans le but de simplifier la détermination des caractéristiques d’isolation et ont été éprouvées. Elles se limitent à fixer un niveau de performance sur c</w:t>
      </w:r>
      <w:r w:rsidR="00A4201E">
        <w:t>hacun des postes (R isolant, Uw </w:t>
      </w:r>
      <w:r>
        <w:t>menuiserie, rendement des équipements et étanchéité à l’air), sans préjuger des choix de l’entreprise sur les matériaux ou matériel</w:t>
      </w:r>
      <w:r w:rsidR="00AA6C29">
        <w:t>s</w:t>
      </w:r>
      <w:r>
        <w:t>, ni sur la mise en œuvre</w:t>
      </w:r>
    </w:p>
    <w:p w14:paraId="612C6DD0" w14:textId="77777777" w:rsidR="008052B5" w:rsidRDefault="008052B5" w:rsidP="008052B5"/>
    <w:p w14:paraId="33D0A5B4" w14:textId="3F57F98B" w:rsidR="00B50682" w:rsidRPr="00A941A1" w:rsidRDefault="00FB7EA9" w:rsidP="005D00BC">
      <w:pPr>
        <w:rPr>
          <w:sz w:val="16"/>
          <w:szCs w:val="16"/>
        </w:rPr>
      </w:pPr>
      <w:r>
        <w:t>.</w:t>
      </w:r>
      <w:r>
        <w:br w:type="page"/>
      </w:r>
      <w:r w:rsidR="005D00BC" w:rsidRPr="00A941A1">
        <w:rPr>
          <w:sz w:val="16"/>
          <w:szCs w:val="16"/>
        </w:rPr>
        <w:t xml:space="preserve"> </w:t>
      </w:r>
    </w:p>
    <w:p w14:paraId="2910C624" w14:textId="7E5568AC" w:rsidR="005D00BC" w:rsidRDefault="005D00BC" w:rsidP="007F50C9">
      <w:pPr>
        <w:pStyle w:val="titre20"/>
        <w:ind w:left="0"/>
      </w:pPr>
      <w:r>
        <w:t>Tableaux des Solutions Techniques de Réferences</w:t>
      </w:r>
      <w:bookmarkStart w:id="0" w:name="_GoBack"/>
      <w:bookmarkEnd w:id="0"/>
      <w:r>
        <w:t xml:space="preserve"> (STR)</w:t>
      </w:r>
    </w:p>
    <w:p w14:paraId="17DC6599" w14:textId="57ACE2E8" w:rsidR="00A44D10" w:rsidRDefault="007317B5" w:rsidP="00A4201E">
      <w:pPr>
        <w:pStyle w:val="texte"/>
        <w:ind w:left="0"/>
      </w:pPr>
      <w:r w:rsidRPr="007317B5">
        <w:drawing>
          <wp:inline distT="0" distB="0" distL="0" distR="0" wp14:anchorId="560AFA76" wp14:editId="033B0F87">
            <wp:extent cx="6301105" cy="6675586"/>
            <wp:effectExtent l="0" t="0" r="444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1105" cy="6675586"/>
                    </a:xfrm>
                    <a:prstGeom prst="rect">
                      <a:avLst/>
                    </a:prstGeom>
                    <a:noFill/>
                    <a:ln>
                      <a:noFill/>
                    </a:ln>
                  </pic:spPr>
                </pic:pic>
              </a:graphicData>
            </a:graphic>
          </wp:inline>
        </w:drawing>
      </w:r>
    </w:p>
    <w:p w14:paraId="5FF451A0" w14:textId="6C1E4EDF" w:rsidR="009F7538" w:rsidRDefault="00FB7EA9" w:rsidP="007317B5">
      <w:pPr>
        <w:pStyle w:val="titre20"/>
        <w:ind w:left="0"/>
      </w:pPr>
      <w:r>
        <w:t>Dérogations</w:t>
      </w:r>
    </w:p>
    <w:p w14:paraId="5FF451A1" w14:textId="77777777" w:rsidR="009F7538" w:rsidRDefault="00FB7EA9" w:rsidP="007317B5">
      <w:pPr>
        <w:pStyle w:val="Paragraphedeliste"/>
        <w:numPr>
          <w:ilvl w:val="0"/>
          <w:numId w:val="4"/>
        </w:numPr>
        <w:ind w:left="426" w:hanging="284"/>
        <w:rPr>
          <w:b/>
        </w:rPr>
      </w:pPr>
      <w:r>
        <w:rPr>
          <w:b/>
        </w:rPr>
        <w:t xml:space="preserve">Mise en place d’une VMC simple flux Hygro en remplacement d’une VMC double flux ; </w:t>
      </w:r>
    </w:p>
    <w:p w14:paraId="5FF451A2" w14:textId="77777777" w:rsidR="009F7538" w:rsidRPr="00A941A1" w:rsidRDefault="009F7538" w:rsidP="007317B5">
      <w:pPr>
        <w:pStyle w:val="Paragraphedeliste"/>
        <w:tabs>
          <w:tab w:val="clear" w:pos="284"/>
          <w:tab w:val="left" w:pos="426"/>
        </w:tabs>
        <w:ind w:left="426"/>
        <w:rPr>
          <w:sz w:val="12"/>
          <w:szCs w:val="12"/>
        </w:rPr>
      </w:pPr>
    </w:p>
    <w:p w14:paraId="5FF451A3" w14:textId="2554F41F" w:rsidR="009F7538" w:rsidRDefault="00FB7EA9" w:rsidP="007317B5">
      <w:pPr>
        <w:pStyle w:val="Paragraphedeliste"/>
        <w:tabs>
          <w:tab w:val="clear" w:pos="284"/>
          <w:tab w:val="left" w:pos="426"/>
        </w:tabs>
        <w:ind w:left="426"/>
      </w:pPr>
      <w:r>
        <w:t>L’opérateur informera le maître d’ouvrage sur l’enjeu de qualité d’air intérieur des logements et sur les risques encourus lorsque cette qualité est insuffisante. Il pourra s’appuyer sur le manuel Climaxion « qualité de l’air intérieur et logement BBC ».</w:t>
      </w:r>
    </w:p>
    <w:p w14:paraId="5FF451A4" w14:textId="77777777" w:rsidR="009F7538" w:rsidRPr="00A941A1" w:rsidRDefault="009F7538" w:rsidP="007317B5">
      <w:pPr>
        <w:pStyle w:val="Paragraphedeliste"/>
        <w:tabs>
          <w:tab w:val="clear" w:pos="284"/>
          <w:tab w:val="left" w:pos="426"/>
        </w:tabs>
        <w:ind w:left="426"/>
        <w:rPr>
          <w:sz w:val="12"/>
          <w:szCs w:val="12"/>
        </w:rPr>
      </w:pPr>
    </w:p>
    <w:p w14:paraId="5FF451A5" w14:textId="1FCBCF27" w:rsidR="009F7538" w:rsidRPr="00A44D10" w:rsidRDefault="00B50682" w:rsidP="007317B5">
      <w:pPr>
        <w:pStyle w:val="Paragraphedeliste"/>
        <w:tabs>
          <w:tab w:val="clear" w:pos="284"/>
          <w:tab w:val="left" w:pos="426"/>
        </w:tabs>
        <w:ind w:left="426"/>
        <w:rPr>
          <w:spacing w:val="-6"/>
          <w:sz w:val="16"/>
          <w:szCs w:val="16"/>
        </w:rPr>
      </w:pPr>
      <w:r w:rsidRPr="00A44D10">
        <w:rPr>
          <w:b/>
          <w:sz w:val="16"/>
          <w:szCs w:val="16"/>
        </w:rPr>
        <w:t>Nota </w:t>
      </w:r>
      <w:r>
        <w:rPr>
          <w:sz w:val="16"/>
          <w:szCs w:val="16"/>
        </w:rPr>
        <w:t xml:space="preserve">: </w:t>
      </w:r>
      <w:r w:rsidR="00FB7EA9" w:rsidRPr="00A44D10">
        <w:rPr>
          <w:spacing w:val="-6"/>
          <w:sz w:val="16"/>
          <w:szCs w:val="16"/>
        </w:rPr>
        <w:t>L’absence totale de VMC n’est pas proscrite mais devra rester exceptionnelle et sera systématiquement justifiée à la collectivité.</w:t>
      </w:r>
    </w:p>
    <w:p w14:paraId="0782F635" w14:textId="77777777" w:rsidR="00A44D10" w:rsidRPr="007317B5" w:rsidRDefault="00A44D10" w:rsidP="007317B5">
      <w:pPr>
        <w:pStyle w:val="Paragraphedeliste"/>
        <w:tabs>
          <w:tab w:val="clear" w:pos="284"/>
          <w:tab w:val="left" w:pos="426"/>
        </w:tabs>
        <w:ind w:left="426"/>
        <w:rPr>
          <w:sz w:val="24"/>
          <w:szCs w:val="24"/>
        </w:rPr>
      </w:pPr>
    </w:p>
    <w:p w14:paraId="5FF451A7" w14:textId="243C9AE8" w:rsidR="009F7538" w:rsidRDefault="00FB7EA9" w:rsidP="007317B5">
      <w:pPr>
        <w:pStyle w:val="Paragraphedeliste"/>
        <w:numPr>
          <w:ilvl w:val="0"/>
          <w:numId w:val="4"/>
        </w:numPr>
        <w:ind w:left="426" w:hanging="284"/>
        <w:rPr>
          <w:b/>
        </w:rPr>
      </w:pPr>
      <w:r>
        <w:rPr>
          <w:b/>
        </w:rPr>
        <w:t xml:space="preserve">Conservation des menuiseries existantes dans le cas de menuiseries </w:t>
      </w:r>
      <w:r w:rsidR="00AA6C29">
        <w:rPr>
          <w:b/>
        </w:rPr>
        <w:t xml:space="preserve">avec </w:t>
      </w:r>
      <w:r w:rsidR="007317B5">
        <w:rPr>
          <w:b/>
        </w:rPr>
        <w:t>double vitrage datant de moins </w:t>
      </w:r>
      <w:r>
        <w:rPr>
          <w:b/>
        </w:rPr>
        <w:t>de 10 ans ;</w:t>
      </w:r>
    </w:p>
    <w:p w14:paraId="5FF451A8" w14:textId="62A08374" w:rsidR="009F7538" w:rsidRDefault="009F7538" w:rsidP="007317B5">
      <w:pPr>
        <w:pStyle w:val="Paragraphedeliste"/>
        <w:ind w:left="426" w:hanging="284"/>
      </w:pPr>
    </w:p>
    <w:p w14:paraId="42DFD261" w14:textId="4A796B20" w:rsidR="007317B5" w:rsidRDefault="007317B5" w:rsidP="007317B5">
      <w:pPr>
        <w:pStyle w:val="Paragraphedeliste"/>
        <w:ind w:left="426" w:hanging="284"/>
      </w:pPr>
    </w:p>
    <w:p w14:paraId="2F0F8BA9" w14:textId="77777777" w:rsidR="007317B5" w:rsidRDefault="007317B5" w:rsidP="007317B5">
      <w:pPr>
        <w:pStyle w:val="Paragraphedeliste"/>
        <w:ind w:left="426" w:hanging="284"/>
      </w:pPr>
    </w:p>
    <w:p w14:paraId="5FF451A9" w14:textId="77777777" w:rsidR="009F7538" w:rsidRDefault="00FB7EA9" w:rsidP="007317B5">
      <w:pPr>
        <w:pStyle w:val="Paragraphedeliste"/>
        <w:numPr>
          <w:ilvl w:val="0"/>
          <w:numId w:val="4"/>
        </w:numPr>
        <w:ind w:left="426" w:hanging="284"/>
        <w:rPr>
          <w:b/>
        </w:rPr>
      </w:pPr>
      <w:r>
        <w:rPr>
          <w:b/>
        </w:rPr>
        <w:t>Isolation partielle des parois du logement dans une logique de « boite dans la boite »</w:t>
      </w:r>
    </w:p>
    <w:p w14:paraId="10C3DE39" w14:textId="77777777" w:rsidR="00A941A1" w:rsidRPr="007317B5" w:rsidRDefault="00A941A1" w:rsidP="007317B5">
      <w:pPr>
        <w:pStyle w:val="Paragraphedeliste"/>
        <w:ind w:left="426" w:hanging="284"/>
        <w:rPr>
          <w:b/>
          <w:sz w:val="24"/>
          <w:szCs w:val="24"/>
        </w:rPr>
      </w:pPr>
    </w:p>
    <w:p w14:paraId="5FF451AB" w14:textId="1E59DDBF" w:rsidR="009F7538" w:rsidRDefault="00FB7EA9" w:rsidP="007317B5">
      <w:pPr>
        <w:pStyle w:val="Paragraphedeliste"/>
        <w:numPr>
          <w:ilvl w:val="0"/>
          <w:numId w:val="4"/>
        </w:numPr>
        <w:ind w:left="426" w:hanging="284"/>
        <w:rPr>
          <w:b/>
        </w:rPr>
      </w:pPr>
      <w:r>
        <w:rPr>
          <w:b/>
        </w:rPr>
        <w:t>Dérogation d</w:t>
      </w:r>
      <w:r w:rsidR="00AA6C29">
        <w:rPr>
          <w:b/>
        </w:rPr>
        <w:t>e l</w:t>
      </w:r>
      <w:r>
        <w:rPr>
          <w:b/>
        </w:rPr>
        <w:t>’épaisseur d’isolant justifiée par une contrainte architecturale</w:t>
      </w:r>
      <w:r w:rsidR="00AA6C29">
        <w:rPr>
          <w:b/>
        </w:rPr>
        <w:t xml:space="preserve"> et/ou technique</w:t>
      </w:r>
    </w:p>
    <w:p w14:paraId="5FF451AC" w14:textId="77777777" w:rsidR="009F7538" w:rsidRPr="007317B5" w:rsidRDefault="009F7538" w:rsidP="007317B5">
      <w:pPr>
        <w:pStyle w:val="Paragraphedeliste"/>
        <w:ind w:left="426" w:hanging="284"/>
        <w:rPr>
          <w:b/>
          <w:sz w:val="24"/>
          <w:szCs w:val="24"/>
        </w:rPr>
      </w:pPr>
    </w:p>
    <w:p w14:paraId="5FF451AD" w14:textId="77777777" w:rsidR="009F7538" w:rsidRDefault="00FB7EA9" w:rsidP="007317B5">
      <w:pPr>
        <w:pStyle w:val="Paragraphedeliste"/>
        <w:numPr>
          <w:ilvl w:val="0"/>
          <w:numId w:val="4"/>
        </w:numPr>
        <w:ind w:left="426" w:hanging="284"/>
      </w:pPr>
      <w:r>
        <w:rPr>
          <w:b/>
        </w:rPr>
        <w:t>Étanchéité à l’air pour les rénovations par étapes</w:t>
      </w:r>
    </w:p>
    <w:p w14:paraId="5FF451AE" w14:textId="77777777" w:rsidR="009F7538" w:rsidRPr="00600905" w:rsidRDefault="009F7538" w:rsidP="007317B5">
      <w:pPr>
        <w:pStyle w:val="Paragraphedeliste"/>
        <w:ind w:left="426" w:hanging="284"/>
        <w:rPr>
          <w:sz w:val="6"/>
          <w:szCs w:val="6"/>
        </w:rPr>
      </w:pPr>
    </w:p>
    <w:p w14:paraId="4826CD3D" w14:textId="77777777" w:rsidR="007317B5" w:rsidRDefault="00FB7EA9" w:rsidP="007317B5">
      <w:pPr>
        <w:pStyle w:val="Paragraphedeliste"/>
        <w:ind w:left="426"/>
      </w:pPr>
      <w:r>
        <w:t>L</w:t>
      </w:r>
      <w:r w:rsidR="00AA6C29">
        <w:t>ors des travaux l’</w:t>
      </w:r>
      <w:r>
        <w:t>étanchéité à l’air fera l’objet d’une attention particulière.</w:t>
      </w:r>
    </w:p>
    <w:p w14:paraId="5FF451AF" w14:textId="57F40A11" w:rsidR="009F7538" w:rsidRDefault="00FB7EA9" w:rsidP="007317B5">
      <w:pPr>
        <w:pStyle w:val="Paragraphedeliste"/>
        <w:ind w:left="426"/>
      </w:pPr>
      <w:r>
        <w:t>Elle constituera une valeur indicative de référence pour les rénovations par étapes.</w:t>
      </w:r>
    </w:p>
    <w:p w14:paraId="3DEA1808" w14:textId="47E9D69E" w:rsidR="005D1A35" w:rsidRDefault="005D1A35" w:rsidP="007317B5">
      <w:pPr>
        <w:pStyle w:val="Paragraphedeliste"/>
        <w:ind w:left="426" w:hanging="284"/>
      </w:pPr>
    </w:p>
    <w:p w14:paraId="3B17F452" w14:textId="77777777" w:rsidR="005D1A35" w:rsidRDefault="005D1A35" w:rsidP="005D1A35">
      <w:pPr>
        <w:pStyle w:val="titre20"/>
        <w:ind w:left="0"/>
      </w:pPr>
      <w:r>
        <w:t xml:space="preserve">Mise en œuvre des STR </w:t>
      </w:r>
    </w:p>
    <w:p w14:paraId="2104CF46" w14:textId="212F9DB4" w:rsidR="005D1A35" w:rsidRDefault="005D1A35" w:rsidP="005D1A35">
      <w:r>
        <w:t>La mise en œuvre des STR doit s’adapter à chaque projet de rénovation. En cas de difficultés techniques dans leur mise en œuvre, les dérogations ou solutions alternatives proposées seront justifiées par l’opérateur.</w:t>
      </w:r>
    </w:p>
    <w:p w14:paraId="70DB550B" w14:textId="77777777" w:rsidR="005D1A35" w:rsidRDefault="005D1A35">
      <w:pPr>
        <w:pStyle w:val="Paragraphedeliste"/>
      </w:pPr>
    </w:p>
    <w:p w14:paraId="5FF451B2" w14:textId="77777777" w:rsidR="009F7538" w:rsidRDefault="00FB7EA9" w:rsidP="007F50C9">
      <w:pPr>
        <w:pStyle w:val="titre20"/>
        <w:ind w:left="0"/>
      </w:pPr>
      <w:r>
        <w:t>Méthode par étude thermique pour les appartements</w:t>
      </w:r>
    </w:p>
    <w:p w14:paraId="5FF451B3" w14:textId="757CC56F" w:rsidR="009F7538" w:rsidRDefault="00FB7EA9">
      <w:r>
        <w:t>Le projet de rénovation proposé au maître d’ouvrage devra s’appuyer sur une méthodologie validée par la collectivité et la Région, s’appuyant sur une étude thermique et garantissant l’atteinte à minima de la classe énergétique C après travaux.</w:t>
      </w:r>
    </w:p>
    <w:p w14:paraId="4EAF213E" w14:textId="5337D33B" w:rsidR="00A941A1" w:rsidRDefault="00A941A1"/>
    <w:p w14:paraId="5FF451B4" w14:textId="77777777" w:rsidR="009F7538" w:rsidRDefault="00FB7EA9">
      <w:pPr>
        <w:pStyle w:val="titre10"/>
        <w:numPr>
          <w:ilvl w:val="0"/>
          <w:numId w:val="1"/>
        </w:numPr>
        <w:ind w:left="284" w:hanging="284"/>
      </w:pPr>
      <w:r>
        <w:t>Rénovation par étapes</w:t>
      </w:r>
    </w:p>
    <w:p w14:paraId="5FF451B5" w14:textId="66C7FA02" w:rsidR="009F7538" w:rsidRDefault="00FB7EA9">
      <w:r>
        <w:t>Le projet de rénovation complète et performante</w:t>
      </w:r>
      <w:r w:rsidR="00600905">
        <w:t>,</w:t>
      </w:r>
      <w:r>
        <w:t xml:space="preserve"> proposé au maître d’ouvrage</w:t>
      </w:r>
      <w:r w:rsidR="00600905">
        <w:t>,</w:t>
      </w:r>
      <w:r>
        <w:t xml:space="preserve"> peut être séquencé en étapes de travaux.</w:t>
      </w:r>
    </w:p>
    <w:p w14:paraId="5FF451B6" w14:textId="77777777" w:rsidR="009F7538" w:rsidRDefault="009F7538"/>
    <w:p w14:paraId="76C5CEA3" w14:textId="6D5886E0" w:rsidR="00A44D10" w:rsidRDefault="00FB7EA9" w:rsidP="008E0CCD">
      <w:r>
        <w:t>La 1</w:t>
      </w:r>
      <w:r>
        <w:rPr>
          <w:vertAlign w:val="superscript"/>
        </w:rPr>
        <w:t>ère</w:t>
      </w:r>
      <w:r>
        <w:t xml:space="preserve"> étape comprendra </w:t>
      </w:r>
      <w:r w:rsidR="00B50682">
        <w:t>à</w:t>
      </w:r>
      <w:r>
        <w:t xml:space="preserve"> minima</w:t>
      </w:r>
      <w:r w:rsidR="00A4201E">
        <w:t> :</w:t>
      </w:r>
    </w:p>
    <w:p w14:paraId="3547B601" w14:textId="77777777" w:rsidR="00A44D10" w:rsidRDefault="00A44D10" w:rsidP="008E0CCD"/>
    <w:p w14:paraId="39446EFC" w14:textId="654F4D1E" w:rsidR="008E0CCD" w:rsidRDefault="007F50C9" w:rsidP="008E0CCD">
      <w:r>
        <w:t>-  </w:t>
      </w:r>
      <w:r w:rsidR="00FB7EA9">
        <w:t>l’isolation de 2 ensembles de parois</w:t>
      </w:r>
      <w:r w:rsidR="008E0CCD">
        <w:t>,</w:t>
      </w:r>
    </w:p>
    <w:p w14:paraId="5FF451B9" w14:textId="771C6131" w:rsidR="009F7538" w:rsidRDefault="00600905" w:rsidP="00A44D10">
      <w:r>
        <w:t>- </w:t>
      </w:r>
      <w:r w:rsidR="007F50C9">
        <w:t> </w:t>
      </w:r>
      <w:r>
        <w:t>l</w:t>
      </w:r>
      <w:r w:rsidR="00FB7EA9">
        <w:t>a mise en place du système de ventilation</w:t>
      </w:r>
    </w:p>
    <w:p w14:paraId="7A73E6A3" w14:textId="5F6D260E" w:rsidR="00AA6C29" w:rsidRDefault="007F50C9" w:rsidP="00A44D10">
      <w:r>
        <w:t>-  </w:t>
      </w:r>
      <w:r w:rsidR="00B50682">
        <w:t>l</w:t>
      </w:r>
      <w:r w:rsidR="00A4201E">
        <w:t>e traitement de l</w:t>
      </w:r>
      <w:r w:rsidR="00AA6C29">
        <w:t xml:space="preserve">’étanchéité à l’air </w:t>
      </w:r>
      <w:r w:rsidR="008E0CCD">
        <w:t>(</w:t>
      </w:r>
      <w:r w:rsidR="00AA6C29" w:rsidRPr="008E0CCD">
        <w:rPr>
          <w:sz w:val="16"/>
          <w:szCs w:val="16"/>
        </w:rPr>
        <w:t>y compris si elle constitue une valeur indicative de référence</w:t>
      </w:r>
      <w:r w:rsidR="008E0CCD">
        <w:rPr>
          <w:sz w:val="16"/>
          <w:szCs w:val="16"/>
        </w:rPr>
        <w:t>)</w:t>
      </w:r>
      <w:r>
        <w:rPr>
          <w:sz w:val="16"/>
          <w:szCs w:val="16"/>
        </w:rPr>
        <w:t>.</w:t>
      </w:r>
    </w:p>
    <w:p w14:paraId="5FF451BA" w14:textId="349E8FEA" w:rsidR="009F7538" w:rsidRDefault="009F7538" w:rsidP="00600905">
      <w:pPr>
        <w:ind w:left="3402"/>
      </w:pPr>
    </w:p>
    <w:p w14:paraId="5FF451BB" w14:textId="3301631C" w:rsidR="009F7538" w:rsidRDefault="00FB7EA9">
      <w:r>
        <w:t>La réalisation de cette 1</w:t>
      </w:r>
      <w:r>
        <w:rPr>
          <w:vertAlign w:val="superscript"/>
        </w:rPr>
        <w:t>ère</w:t>
      </w:r>
      <w:r>
        <w:t xml:space="preserve"> étape devra anticiper les futures étapes de travaux.</w:t>
      </w:r>
    </w:p>
    <w:p w14:paraId="5743F838" w14:textId="77777777" w:rsidR="00A4201E" w:rsidRDefault="00A4201E"/>
    <w:p w14:paraId="5FF451BC" w14:textId="0F84849C" w:rsidR="009F7538" w:rsidRDefault="00FB7EA9">
      <w:r>
        <w:t>Les dates prévisionnelles des futures étapes de travaux devront être précisées au maître d’ouvrage</w:t>
      </w:r>
      <w:r w:rsidR="00AA6C29">
        <w:t xml:space="preserve"> </w:t>
      </w:r>
      <w:r w:rsidR="003A11A7">
        <w:t>de manière informative, par exemple en utilisant le feuille de route du passeport efficacité énergétique</w:t>
      </w:r>
      <w:r>
        <w:t>.</w:t>
      </w:r>
    </w:p>
    <w:sectPr w:rsidR="009F7538" w:rsidSect="007317B5">
      <w:footerReference w:type="default" r:id="rId15"/>
      <w:pgSz w:w="11906" w:h="16838"/>
      <w:pgMar w:top="709" w:right="991" w:bottom="1135" w:left="1134" w:header="0" w:footer="14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B2A9F" w14:textId="77777777" w:rsidR="0076533C" w:rsidRDefault="0076533C">
      <w:r>
        <w:separator/>
      </w:r>
    </w:p>
  </w:endnote>
  <w:endnote w:type="continuationSeparator" w:id="0">
    <w:p w14:paraId="1F16A5D4" w14:textId="77777777" w:rsidR="0076533C" w:rsidRDefault="0076533C">
      <w:r>
        <w:continuationSeparator/>
      </w:r>
    </w:p>
  </w:endnote>
  <w:endnote w:type="continuationNotice" w:id="1">
    <w:p w14:paraId="0980FB95" w14:textId="77777777" w:rsidR="00E3505E" w:rsidRDefault="00E350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w:hAnsi="Century" w:cstheme="minorHAnsi"/>
      </w:rPr>
      <w:id w:val="1197516100"/>
      <w:docPartObj>
        <w:docPartGallery w:val="Page Numbers (Top of Page)"/>
        <w:docPartUnique/>
      </w:docPartObj>
    </w:sdtPr>
    <w:sdtEndPr/>
    <w:sdtContent>
      <w:p w14:paraId="1C15C0CA" w14:textId="671F0875" w:rsidR="00B50682" w:rsidRPr="00243280" w:rsidRDefault="0076533C" w:rsidP="00B50682">
        <w:pPr>
          <w:pStyle w:val="texte"/>
          <w:tabs>
            <w:tab w:val="right" w:pos="9072"/>
          </w:tabs>
          <w:spacing w:before="120" w:after="0"/>
          <w:ind w:left="0"/>
          <w:rPr>
            <w:rFonts w:ascii="Century" w:hAnsi="Century"/>
            <w:sz w:val="14"/>
            <w:szCs w:val="14"/>
          </w:rPr>
        </w:pPr>
        <w:r w:rsidRPr="00243280">
          <w:rPr>
            <w:sz w:val="14"/>
            <w:szCs w:val="14"/>
          </w:rPr>
          <w:fldChar w:fldCharType="begin"/>
        </w:r>
        <w:r w:rsidRPr="00243280">
          <w:rPr>
            <w:sz w:val="14"/>
            <w:szCs w:val="14"/>
          </w:rPr>
          <w:instrText>PAGE</w:instrText>
        </w:r>
        <w:r w:rsidRPr="00243280">
          <w:rPr>
            <w:sz w:val="14"/>
            <w:szCs w:val="14"/>
          </w:rPr>
          <w:fldChar w:fldCharType="separate"/>
        </w:r>
        <w:r w:rsidR="00C9587B">
          <w:rPr>
            <w:noProof/>
            <w:sz w:val="14"/>
            <w:szCs w:val="14"/>
          </w:rPr>
          <w:t>2</w:t>
        </w:r>
        <w:r w:rsidRPr="00243280">
          <w:rPr>
            <w:sz w:val="14"/>
            <w:szCs w:val="14"/>
          </w:rPr>
          <w:fldChar w:fldCharType="end"/>
        </w:r>
        <w:r w:rsidRPr="00243280">
          <w:rPr>
            <w:sz w:val="14"/>
            <w:szCs w:val="14"/>
          </w:rPr>
          <w:t>/</w:t>
        </w:r>
        <w:r w:rsidRPr="00243280">
          <w:rPr>
            <w:sz w:val="14"/>
            <w:szCs w:val="14"/>
          </w:rPr>
          <w:fldChar w:fldCharType="begin"/>
        </w:r>
        <w:r w:rsidRPr="00243280">
          <w:rPr>
            <w:sz w:val="14"/>
            <w:szCs w:val="14"/>
          </w:rPr>
          <w:instrText>NUMPAGES</w:instrText>
        </w:r>
        <w:r w:rsidRPr="00243280">
          <w:rPr>
            <w:sz w:val="14"/>
            <w:szCs w:val="14"/>
          </w:rPr>
          <w:fldChar w:fldCharType="separate"/>
        </w:r>
        <w:r w:rsidR="00C9587B">
          <w:rPr>
            <w:noProof/>
            <w:sz w:val="14"/>
            <w:szCs w:val="14"/>
          </w:rPr>
          <w:t>4</w:t>
        </w:r>
        <w:r w:rsidRPr="00243280">
          <w:rPr>
            <w:sz w:val="14"/>
            <w:szCs w:val="14"/>
          </w:rPr>
          <w:fldChar w:fldCharType="end"/>
        </w:r>
        <w:r w:rsidR="00B50682" w:rsidRPr="00243280">
          <w:rPr>
            <w:sz w:val="14"/>
            <w:szCs w:val="14"/>
          </w:rPr>
          <w:t xml:space="preserve">  </w:t>
        </w:r>
        <w:r w:rsidR="00B50682" w:rsidRPr="00243280">
          <w:rPr>
            <w:rFonts w:ascii="Century" w:hAnsi="Century"/>
            <w:sz w:val="14"/>
            <w:szCs w:val="14"/>
          </w:rPr>
          <w:t xml:space="preserve">  Direction de la Cohésion des Territoires (DCT)  la Transition Energétique, Ecologique et de l’Environnement (DTEEE)</w:t>
        </w:r>
        <w:r w:rsidR="00243280" w:rsidRPr="00243280">
          <w:rPr>
            <w:rFonts w:ascii="Century" w:hAnsi="Century"/>
            <w:sz w:val="14"/>
            <w:szCs w:val="14"/>
          </w:rPr>
          <w:t xml:space="preserve"> – Version 2020-1</w:t>
        </w:r>
      </w:p>
      <w:p w14:paraId="5FF451C3" w14:textId="71EC94CF" w:rsidR="0076533C" w:rsidRDefault="00C9587B">
        <w:pPr>
          <w:pStyle w:val="Pieddepag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918D7" w14:textId="77777777" w:rsidR="0076533C" w:rsidRDefault="0076533C">
      <w:r>
        <w:separator/>
      </w:r>
    </w:p>
  </w:footnote>
  <w:footnote w:type="continuationSeparator" w:id="0">
    <w:p w14:paraId="29A06523" w14:textId="77777777" w:rsidR="0076533C" w:rsidRDefault="0076533C">
      <w:r>
        <w:continuationSeparator/>
      </w:r>
    </w:p>
  </w:footnote>
  <w:footnote w:type="continuationNotice" w:id="1">
    <w:p w14:paraId="57D59127" w14:textId="77777777" w:rsidR="00E3505E" w:rsidRDefault="00E3505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681C"/>
    <w:multiLevelType w:val="multilevel"/>
    <w:tmpl w:val="B7281B4C"/>
    <w:lvl w:ilvl="0">
      <w:start w:val="1"/>
      <w:numFmt w:val="decimal"/>
      <w:lvlText w:val="%1."/>
      <w:lvlJc w:val="left"/>
      <w:pPr>
        <w:ind w:left="720" w:hanging="360"/>
      </w:pPr>
      <w:rPr>
        <w:b/>
      </w:rPr>
    </w:lvl>
    <w:lvl w:ilvl="1">
      <w:start w:val="1"/>
      <w:numFmt w:val="decimal"/>
      <w:lvlText w:val="%1.%2."/>
      <w:lvlJc w:val="left"/>
      <w:pPr>
        <w:ind w:left="1495" w:hanging="360"/>
      </w:pPr>
    </w:lvl>
    <w:lvl w:ilvl="2">
      <w:start w:val="1"/>
      <w:numFmt w:val="decimal"/>
      <w:lvlText w:val="%1.%2.%3."/>
      <w:lvlJc w:val="left"/>
      <w:pPr>
        <w:ind w:left="1080" w:hanging="720"/>
      </w:pPr>
      <w:rPr>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21B838C7"/>
    <w:multiLevelType w:val="multilevel"/>
    <w:tmpl w:val="F198190C"/>
    <w:lvl w:ilvl="0">
      <w:start w:val="1"/>
      <w:numFmt w:val="bullet"/>
      <w:lvlText w:val="-"/>
      <w:lvlJc w:val="left"/>
      <w:pPr>
        <w:ind w:left="720" w:hanging="360"/>
      </w:pPr>
      <w:rPr>
        <w:rFonts w:ascii="Calibri" w:hAnsi="Calibri" w:cs="Calibri" w:hint="default"/>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BAB6AAB"/>
    <w:multiLevelType w:val="hybridMultilevel"/>
    <w:tmpl w:val="331C4388"/>
    <w:lvl w:ilvl="0" w:tplc="5CB4B870">
      <w:numFmt w:val="bullet"/>
      <w:lvlText w:val="-"/>
      <w:lvlJc w:val="left"/>
      <w:pPr>
        <w:ind w:left="644" w:hanging="360"/>
      </w:pPr>
      <w:rPr>
        <w:rFonts w:ascii="Century" w:eastAsia="Times New Roman" w:hAnsi="Century" w:cstheme="minorHAns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30D06608"/>
    <w:multiLevelType w:val="multilevel"/>
    <w:tmpl w:val="331C1E04"/>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AD5444B"/>
    <w:multiLevelType w:val="multilevel"/>
    <w:tmpl w:val="64FEEC48"/>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3D6340D"/>
    <w:multiLevelType w:val="multilevel"/>
    <w:tmpl w:val="156C135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5A9601B"/>
    <w:multiLevelType w:val="hybridMultilevel"/>
    <w:tmpl w:val="4A62150A"/>
    <w:lvl w:ilvl="0" w:tplc="9F9EE45C">
      <w:numFmt w:val="bullet"/>
      <w:lvlText w:val="-"/>
      <w:lvlJc w:val="left"/>
      <w:pPr>
        <w:ind w:left="644" w:hanging="360"/>
      </w:pPr>
      <w:rPr>
        <w:rFonts w:ascii="Century Schoolbook" w:eastAsia="Times New Roman" w:hAnsi="Century Schoolbook"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7F5F28EE"/>
    <w:multiLevelType w:val="multilevel"/>
    <w:tmpl w:val="BCDE33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1"/>
  </w:num>
  <w:num w:numId="3">
    <w:abstractNumId w:val="3"/>
  </w:num>
  <w:num w:numId="4">
    <w:abstractNumId w:val="0"/>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38"/>
    <w:rsid w:val="001A5B92"/>
    <w:rsid w:val="00243280"/>
    <w:rsid w:val="002C2260"/>
    <w:rsid w:val="00382357"/>
    <w:rsid w:val="003A11A7"/>
    <w:rsid w:val="004C7ED7"/>
    <w:rsid w:val="005D00BC"/>
    <w:rsid w:val="005D1A35"/>
    <w:rsid w:val="00600905"/>
    <w:rsid w:val="007317B5"/>
    <w:rsid w:val="0076533C"/>
    <w:rsid w:val="007F50C9"/>
    <w:rsid w:val="008052B5"/>
    <w:rsid w:val="00885A90"/>
    <w:rsid w:val="008E0CCD"/>
    <w:rsid w:val="009F7538"/>
    <w:rsid w:val="00A4201E"/>
    <w:rsid w:val="00A44D10"/>
    <w:rsid w:val="00A6583D"/>
    <w:rsid w:val="00A907A0"/>
    <w:rsid w:val="00A941A1"/>
    <w:rsid w:val="00AA6C29"/>
    <w:rsid w:val="00AC2246"/>
    <w:rsid w:val="00B50682"/>
    <w:rsid w:val="00C2013F"/>
    <w:rsid w:val="00C47804"/>
    <w:rsid w:val="00C9587B"/>
    <w:rsid w:val="00D42FA9"/>
    <w:rsid w:val="00D71196"/>
    <w:rsid w:val="00DF4443"/>
    <w:rsid w:val="00E3505E"/>
    <w:rsid w:val="00EF3C3D"/>
    <w:rsid w:val="00F27A95"/>
    <w:rsid w:val="00FB7EA9"/>
    <w:rsid w:val="00FF790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4510C"/>
  <w15:docId w15:val="{BA364D32-0BF5-45DD-B31F-A775E69C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79C"/>
    <w:pPr>
      <w:tabs>
        <w:tab w:val="left" w:pos="284"/>
      </w:tabs>
      <w:jc w:val="both"/>
    </w:pPr>
    <w:rPr>
      <w:rFonts w:ascii="Century" w:eastAsia="Times New Roman" w:hAnsi="Century" w:cstheme="minorHAnsi"/>
      <w:szCs w:val="20"/>
    </w:rPr>
  </w:style>
  <w:style w:type="paragraph" w:styleId="Titre1">
    <w:name w:val="heading 1"/>
    <w:basedOn w:val="Normal"/>
    <w:next w:val="Normal"/>
    <w:link w:val="Titre1Car1"/>
    <w:qFormat/>
    <w:rsid w:val="00EB453E"/>
    <w:pPr>
      <w:keepNext/>
      <w:outlineLvl w:val="0"/>
    </w:pPr>
    <w:rPr>
      <w:rFonts w:ascii="Arial" w:hAnsi="Arial" w:cs="Arial"/>
      <w:sz w:val="24"/>
      <w:lang w:eastAsia="fr-FR"/>
    </w:rPr>
  </w:style>
  <w:style w:type="paragraph" w:styleId="Titre2">
    <w:name w:val="heading 2"/>
    <w:basedOn w:val="Normal"/>
    <w:next w:val="Normal"/>
    <w:link w:val="Titre2Car1"/>
    <w:uiPriority w:val="9"/>
    <w:semiHidden/>
    <w:unhideWhenUsed/>
    <w:qFormat/>
    <w:rsid w:val="005E57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5E579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1">
    <w:name w:val="Titre 1 Car1"/>
    <w:basedOn w:val="TitreCar"/>
    <w:link w:val="Titre1"/>
    <w:qFormat/>
    <w:rsid w:val="00504F05"/>
    <w:rPr>
      <w:rFonts w:asciiTheme="majorHAnsi" w:eastAsia="Times New Roman" w:hAnsiTheme="majorHAnsi" w:cs="Times New Roman"/>
      <w:b/>
      <w:caps/>
      <w:color w:val="FE8637"/>
      <w:spacing w:val="10"/>
      <w:kern w:val="2"/>
      <w:sz w:val="24"/>
      <w:szCs w:val="48"/>
    </w:rPr>
  </w:style>
  <w:style w:type="character" w:customStyle="1" w:styleId="TitreCar">
    <w:name w:val="Titre Car"/>
    <w:basedOn w:val="Policepardfaut"/>
    <w:link w:val="Titre"/>
    <w:uiPriority w:val="10"/>
    <w:qFormat/>
    <w:rsid w:val="004224AC"/>
    <w:rPr>
      <w:rFonts w:asciiTheme="majorHAnsi" w:eastAsiaTheme="majorEastAsia" w:hAnsiTheme="majorHAnsi" w:cstheme="majorBidi"/>
      <w:spacing w:val="-10"/>
      <w:kern w:val="2"/>
      <w:sz w:val="56"/>
      <w:szCs w:val="56"/>
    </w:rPr>
  </w:style>
  <w:style w:type="character" w:customStyle="1" w:styleId="texteCar1">
    <w:name w:val="_texte Car1"/>
    <w:qFormat/>
    <w:rsid w:val="00DE6B3A"/>
    <w:rPr>
      <w:rFonts w:ascii="Century Schoolbook" w:eastAsia="Times New Roman" w:hAnsi="Century Schoolbook" w:cs="Times New Roman"/>
      <w:sz w:val="20"/>
      <w:szCs w:val="20"/>
    </w:rPr>
  </w:style>
  <w:style w:type="character" w:customStyle="1" w:styleId="NotedebasdepageCar">
    <w:name w:val="Note de bas de page Car"/>
    <w:basedOn w:val="Policepardfaut"/>
    <w:link w:val="Notedebasdepage"/>
    <w:qFormat/>
    <w:rsid w:val="004224AC"/>
    <w:rPr>
      <w:rFonts w:ascii="Calibri" w:eastAsia="Calibri" w:hAnsi="Calibri" w:cs="Times New Roman"/>
      <w:sz w:val="24"/>
      <w:szCs w:val="24"/>
    </w:rPr>
  </w:style>
  <w:style w:type="character" w:customStyle="1" w:styleId="Ancredenotedebasdepage">
    <w:name w:val="Ancre de note de bas de page"/>
    <w:rPr>
      <w:rFonts w:asciiTheme="majorHAnsi" w:hAnsiTheme="majorHAnsi"/>
      <w:color w:val="5B9BD5" w:themeColor="accent1"/>
      <w:sz w:val="20"/>
      <w:vertAlign w:val="superscript"/>
    </w:rPr>
  </w:style>
  <w:style w:type="character" w:customStyle="1" w:styleId="FootnoteCharacters">
    <w:name w:val="Footnote Characters"/>
    <w:qFormat/>
    <w:rsid w:val="004224AC"/>
    <w:rPr>
      <w:rFonts w:asciiTheme="majorHAnsi" w:hAnsiTheme="majorHAnsi"/>
      <w:color w:val="5B9BD5" w:themeColor="accent1"/>
      <w:sz w:val="20"/>
      <w:vertAlign w:val="superscript"/>
    </w:rPr>
  </w:style>
  <w:style w:type="character" w:customStyle="1" w:styleId="tiret1Car">
    <w:name w:val="_tiret1 Car"/>
    <w:basedOn w:val="texteCar1"/>
    <w:qFormat/>
    <w:rsid w:val="00DE6B3A"/>
    <w:rPr>
      <w:rFonts w:ascii="Century Schoolbook" w:eastAsia="Arial" w:hAnsi="Century Schoolbook" w:cs="Times New Roman"/>
      <w:sz w:val="20"/>
      <w:szCs w:val="20"/>
    </w:rPr>
  </w:style>
  <w:style w:type="character" w:customStyle="1" w:styleId="tiret2Car">
    <w:name w:val="_tiret2 Car"/>
    <w:basedOn w:val="tiret1Car"/>
    <w:qFormat/>
    <w:rsid w:val="004224AC"/>
    <w:rPr>
      <w:rFonts w:ascii="Century Schoolbook" w:eastAsia="Arial" w:hAnsi="Century Schoolbook" w:cs="Times New Roman"/>
      <w:sz w:val="20"/>
      <w:szCs w:val="20"/>
    </w:rPr>
  </w:style>
  <w:style w:type="character" w:customStyle="1" w:styleId="dispositifCar">
    <w:name w:val="_dispositif Car"/>
    <w:basedOn w:val="Titre1Car1"/>
    <w:qFormat/>
    <w:rsid w:val="0000130B"/>
    <w:rPr>
      <w:rFonts w:asciiTheme="majorHAnsi" w:eastAsia="Times New Roman" w:hAnsiTheme="majorHAnsi" w:cs="Times New Roman"/>
      <w:b/>
      <w:bCs/>
      <w:caps/>
      <w:color w:val="FFFFFF" w:themeColor="background1"/>
      <w:spacing w:val="10"/>
      <w:kern w:val="2"/>
      <w:sz w:val="28"/>
      <w:szCs w:val="48"/>
    </w:rPr>
  </w:style>
  <w:style w:type="character" w:customStyle="1" w:styleId="Titre2Car1">
    <w:name w:val="Titre 2 Car1"/>
    <w:basedOn w:val="Policepardfaut"/>
    <w:link w:val="Titre2"/>
    <w:qFormat/>
    <w:rsid w:val="00BE375D"/>
    <w:rPr>
      <w:rFonts w:asciiTheme="majorHAnsi" w:eastAsia="Times New Roman" w:hAnsiTheme="majorHAnsi" w:cs="Times New Roman"/>
      <w:b/>
      <w:smallCaps/>
      <w:color w:val="FE8637"/>
      <w:spacing w:val="10"/>
      <w:sz w:val="20"/>
      <w:szCs w:val="48"/>
    </w:rPr>
  </w:style>
  <w:style w:type="character" w:customStyle="1" w:styleId="En-tteCar">
    <w:name w:val="En-tête Car"/>
    <w:basedOn w:val="Policepardfaut"/>
    <w:uiPriority w:val="99"/>
    <w:qFormat/>
    <w:rsid w:val="006A2600"/>
  </w:style>
  <w:style w:type="character" w:customStyle="1" w:styleId="PieddepageCar">
    <w:name w:val="Pied de page Car"/>
    <w:basedOn w:val="Policepardfaut"/>
    <w:link w:val="Pieddepage"/>
    <w:uiPriority w:val="99"/>
    <w:qFormat/>
    <w:rsid w:val="006A2600"/>
  </w:style>
  <w:style w:type="character" w:customStyle="1" w:styleId="TextedebullesCar">
    <w:name w:val="Texte de bulles Car"/>
    <w:basedOn w:val="Policepardfaut"/>
    <w:link w:val="Textedebulles"/>
    <w:uiPriority w:val="99"/>
    <w:semiHidden/>
    <w:qFormat/>
    <w:rsid w:val="0000130B"/>
    <w:rPr>
      <w:rFonts w:ascii="Segoe UI" w:hAnsi="Segoe UI" w:cs="Segoe UI"/>
      <w:sz w:val="18"/>
      <w:szCs w:val="18"/>
    </w:rPr>
  </w:style>
  <w:style w:type="character" w:styleId="Marquedecommentaire">
    <w:name w:val="annotation reference"/>
    <w:basedOn w:val="Policepardfaut"/>
    <w:uiPriority w:val="99"/>
    <w:semiHidden/>
    <w:unhideWhenUsed/>
    <w:qFormat/>
    <w:rsid w:val="00E02D16"/>
    <w:rPr>
      <w:sz w:val="16"/>
      <w:szCs w:val="16"/>
    </w:rPr>
  </w:style>
  <w:style w:type="character" w:customStyle="1" w:styleId="CommentaireCar">
    <w:name w:val="Commentaire Car"/>
    <w:basedOn w:val="Policepardfaut"/>
    <w:link w:val="Commentaire"/>
    <w:uiPriority w:val="99"/>
    <w:qFormat/>
    <w:rsid w:val="00E02D16"/>
    <w:rPr>
      <w:sz w:val="20"/>
      <w:szCs w:val="20"/>
    </w:rPr>
  </w:style>
  <w:style w:type="character" w:customStyle="1" w:styleId="ObjetducommentaireCar">
    <w:name w:val="Objet du commentaire Car"/>
    <w:basedOn w:val="CommentaireCar"/>
    <w:link w:val="Objetducommentaire"/>
    <w:uiPriority w:val="99"/>
    <w:semiHidden/>
    <w:qFormat/>
    <w:rsid w:val="00E02D16"/>
    <w:rPr>
      <w:b/>
      <w:bCs/>
      <w:sz w:val="20"/>
      <w:szCs w:val="20"/>
    </w:rPr>
  </w:style>
  <w:style w:type="character" w:customStyle="1" w:styleId="st">
    <w:name w:val="st"/>
    <w:basedOn w:val="Policepardfaut"/>
    <w:qFormat/>
    <w:rsid w:val="00F96A56"/>
  </w:style>
  <w:style w:type="character" w:customStyle="1" w:styleId="Titre1Car">
    <w:name w:val="Titre 1 Car"/>
    <w:basedOn w:val="Policepardfaut"/>
    <w:qFormat/>
    <w:rsid w:val="00EB453E"/>
    <w:rPr>
      <w:rFonts w:ascii="Arial" w:eastAsia="Times New Roman" w:hAnsi="Arial" w:cs="Arial"/>
      <w:sz w:val="24"/>
      <w:szCs w:val="20"/>
      <w:lang w:eastAsia="fr-FR"/>
    </w:rPr>
  </w:style>
  <w:style w:type="character" w:customStyle="1" w:styleId="Retraitcorpsdetexte3Car">
    <w:name w:val="Retrait corps de texte 3 Car"/>
    <w:basedOn w:val="Policepardfaut"/>
    <w:link w:val="Retraitcorpsdetexte3"/>
    <w:qFormat/>
    <w:rsid w:val="00EB453E"/>
    <w:rPr>
      <w:rFonts w:ascii="Arial" w:eastAsia="Times New Roman" w:hAnsi="Arial" w:cs="Times New Roman"/>
      <w:color w:val="FF0000"/>
      <w:szCs w:val="20"/>
      <w:lang w:eastAsia="fr-FR"/>
    </w:rPr>
  </w:style>
  <w:style w:type="character" w:styleId="lev">
    <w:name w:val="Strong"/>
    <w:qFormat/>
    <w:rsid w:val="00EB453E"/>
    <w:rPr>
      <w:b/>
      <w:bCs/>
    </w:rPr>
  </w:style>
  <w:style w:type="character" w:customStyle="1" w:styleId="CorpsdetexteCar">
    <w:name w:val="Corps de texte Car"/>
    <w:basedOn w:val="Policepardfaut"/>
    <w:link w:val="Corpsdetexte"/>
    <w:uiPriority w:val="99"/>
    <w:semiHidden/>
    <w:qFormat/>
    <w:rsid w:val="00BE1A88"/>
  </w:style>
  <w:style w:type="character" w:customStyle="1" w:styleId="SansinterligneCar">
    <w:name w:val="Sans interligne Car"/>
    <w:basedOn w:val="Policepardfaut"/>
    <w:link w:val="Sansinterligne"/>
    <w:uiPriority w:val="1"/>
    <w:qFormat/>
    <w:rsid w:val="00BE1A88"/>
  </w:style>
  <w:style w:type="character" w:customStyle="1" w:styleId="Titre2Car">
    <w:name w:val="Titre 2 Car"/>
    <w:basedOn w:val="Policepardfaut"/>
    <w:uiPriority w:val="9"/>
    <w:semiHidden/>
    <w:qFormat/>
    <w:rsid w:val="005E579C"/>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qFormat/>
    <w:rsid w:val="005E579C"/>
    <w:rPr>
      <w:rFonts w:asciiTheme="majorHAnsi" w:eastAsiaTheme="majorEastAsia" w:hAnsiTheme="majorHAnsi" w:cstheme="majorBidi"/>
      <w:color w:val="1F4D78" w:themeColor="accent1" w:themeShade="7F"/>
      <w:sz w:val="24"/>
      <w:szCs w:val="24"/>
    </w:rPr>
  </w:style>
  <w:style w:type="character" w:customStyle="1" w:styleId="LienInternet">
    <w:name w:val="Lien Internet"/>
    <w:basedOn w:val="Policepardfaut"/>
    <w:uiPriority w:val="99"/>
    <w:unhideWhenUsed/>
    <w:rsid w:val="005E579C"/>
    <w:rPr>
      <w:color w:val="0563C1"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Calibri"/>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cs="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olor w:val="auto"/>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Calibri"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Times New Roman"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eastAsia="Calibri" w:cs="Times New Roman"/>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Times New Roman"/>
      <w:sz w:val="18"/>
      <w:szCs w:val="18"/>
    </w:rPr>
  </w:style>
  <w:style w:type="paragraph" w:styleId="Titre">
    <w:name w:val="Title"/>
    <w:basedOn w:val="Normal"/>
    <w:next w:val="Corpsdetexte"/>
    <w:link w:val="TitreCar"/>
    <w:uiPriority w:val="10"/>
    <w:qFormat/>
    <w:rsid w:val="004224AC"/>
    <w:pPr>
      <w:contextualSpacing/>
    </w:pPr>
    <w:rPr>
      <w:rFonts w:asciiTheme="majorHAnsi" w:eastAsiaTheme="majorEastAsia" w:hAnsiTheme="majorHAnsi" w:cstheme="majorBidi"/>
      <w:spacing w:val="-10"/>
      <w:kern w:val="2"/>
      <w:sz w:val="56"/>
      <w:szCs w:val="56"/>
    </w:rPr>
  </w:style>
  <w:style w:type="paragraph" w:styleId="Corpsdetexte">
    <w:name w:val="Body Text"/>
    <w:basedOn w:val="Normal"/>
    <w:link w:val="CorpsdetexteCar"/>
    <w:uiPriority w:val="99"/>
    <w:semiHidden/>
    <w:unhideWhenUsed/>
    <w:rsid w:val="00BE1A88"/>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titre10">
    <w:name w:val="_titre1"/>
    <w:basedOn w:val="Titre"/>
    <w:next w:val="texte"/>
    <w:qFormat/>
    <w:rsid w:val="00504F05"/>
    <w:pPr>
      <w:spacing w:before="240" w:after="120"/>
      <w:ind w:left="284" w:hanging="284"/>
      <w:outlineLvl w:val="1"/>
    </w:pPr>
    <w:rPr>
      <w:rFonts w:eastAsia="Times New Roman" w:cs="Times New Roman"/>
      <w:b/>
      <w:caps/>
      <w:color w:val="FE8637"/>
      <w:spacing w:val="10"/>
      <w:sz w:val="24"/>
      <w:szCs w:val="48"/>
    </w:rPr>
  </w:style>
  <w:style w:type="paragraph" w:customStyle="1" w:styleId="texte">
    <w:name w:val="_texte"/>
    <w:qFormat/>
    <w:rsid w:val="00DE6B3A"/>
    <w:pPr>
      <w:spacing w:after="120"/>
      <w:ind w:left="284"/>
      <w:jc w:val="both"/>
    </w:pPr>
    <w:rPr>
      <w:rFonts w:ascii="Century Schoolbook" w:eastAsia="Times New Roman" w:hAnsi="Century Schoolbook" w:cs="Times New Roman"/>
      <w:szCs w:val="20"/>
    </w:rPr>
  </w:style>
  <w:style w:type="paragraph" w:styleId="Notedebasdepage">
    <w:name w:val="footnote text"/>
    <w:basedOn w:val="Normal"/>
    <w:link w:val="NotedebasdepageCar"/>
    <w:qFormat/>
    <w:rsid w:val="004224AC"/>
    <w:pPr>
      <w:widowControl w:val="0"/>
    </w:pPr>
    <w:rPr>
      <w:rFonts w:ascii="Calibri" w:eastAsia="Calibri" w:hAnsi="Calibri" w:cs="Times New Roman"/>
      <w:sz w:val="24"/>
      <w:szCs w:val="24"/>
    </w:rPr>
  </w:style>
  <w:style w:type="paragraph" w:customStyle="1" w:styleId="tiret1">
    <w:name w:val="_tiret1"/>
    <w:basedOn w:val="texte"/>
    <w:qFormat/>
    <w:rsid w:val="00DE6B3A"/>
    <w:pPr>
      <w:tabs>
        <w:tab w:val="left" w:pos="851"/>
      </w:tabs>
    </w:pPr>
    <w:rPr>
      <w:rFonts w:eastAsia="Arial"/>
    </w:rPr>
  </w:style>
  <w:style w:type="paragraph" w:customStyle="1" w:styleId="tiret2">
    <w:name w:val="_tiret2"/>
    <w:basedOn w:val="tiret1"/>
    <w:qFormat/>
    <w:rsid w:val="004224AC"/>
    <w:pPr>
      <w:tabs>
        <w:tab w:val="clear" w:pos="851"/>
        <w:tab w:val="left" w:pos="1418"/>
      </w:tabs>
      <w:ind w:left="1418" w:hanging="338"/>
    </w:pPr>
  </w:style>
  <w:style w:type="paragraph" w:customStyle="1" w:styleId="dispositif">
    <w:name w:val="_dispositif"/>
    <w:basedOn w:val="titre10"/>
    <w:qFormat/>
    <w:rsid w:val="0000130B"/>
    <w:rPr>
      <w:bCs/>
      <w:color w:val="FFFFFF" w:themeColor="background1"/>
      <w:sz w:val="28"/>
    </w:rPr>
  </w:style>
  <w:style w:type="paragraph" w:customStyle="1" w:styleId="titre20">
    <w:name w:val="_titre2"/>
    <w:basedOn w:val="Normal"/>
    <w:next w:val="texte"/>
    <w:qFormat/>
    <w:rsid w:val="00BE375D"/>
    <w:pPr>
      <w:spacing w:before="240" w:after="200"/>
      <w:ind w:left="284"/>
      <w:outlineLvl w:val="2"/>
    </w:pPr>
    <w:rPr>
      <w:rFonts w:asciiTheme="majorHAnsi" w:hAnsiTheme="majorHAnsi" w:cs="Times New Roman"/>
      <w:b/>
      <w:smallCaps/>
      <w:color w:val="FE8637"/>
      <w:spacing w:val="10"/>
      <w:szCs w:val="48"/>
    </w:rPr>
  </w:style>
  <w:style w:type="paragraph" w:styleId="En-tte">
    <w:name w:val="header"/>
    <w:basedOn w:val="Normal"/>
    <w:uiPriority w:val="99"/>
    <w:unhideWhenUsed/>
    <w:rsid w:val="006A2600"/>
    <w:pPr>
      <w:tabs>
        <w:tab w:val="center" w:pos="4536"/>
        <w:tab w:val="right" w:pos="9072"/>
      </w:tabs>
    </w:pPr>
  </w:style>
  <w:style w:type="paragraph" w:styleId="Pieddepage">
    <w:name w:val="footer"/>
    <w:basedOn w:val="Normal"/>
    <w:link w:val="PieddepageCar"/>
    <w:uiPriority w:val="99"/>
    <w:unhideWhenUsed/>
    <w:rsid w:val="006A2600"/>
    <w:pPr>
      <w:tabs>
        <w:tab w:val="center" w:pos="4536"/>
        <w:tab w:val="right" w:pos="9072"/>
      </w:tabs>
    </w:pPr>
  </w:style>
  <w:style w:type="paragraph" w:styleId="Textedebulles">
    <w:name w:val="Balloon Text"/>
    <w:basedOn w:val="Normal"/>
    <w:link w:val="TextedebullesCar"/>
    <w:uiPriority w:val="99"/>
    <w:semiHidden/>
    <w:unhideWhenUsed/>
    <w:qFormat/>
    <w:rsid w:val="0000130B"/>
    <w:rPr>
      <w:rFonts w:ascii="Segoe UI" w:hAnsi="Segoe UI" w:cs="Segoe UI"/>
      <w:sz w:val="18"/>
      <w:szCs w:val="18"/>
    </w:rPr>
  </w:style>
  <w:style w:type="paragraph" w:styleId="Commentaire">
    <w:name w:val="annotation text"/>
    <w:basedOn w:val="Normal"/>
    <w:link w:val="CommentaireCar"/>
    <w:uiPriority w:val="99"/>
    <w:unhideWhenUsed/>
    <w:qFormat/>
    <w:rsid w:val="00E02D16"/>
  </w:style>
  <w:style w:type="paragraph" w:styleId="Objetducommentaire">
    <w:name w:val="annotation subject"/>
    <w:basedOn w:val="Commentaire"/>
    <w:next w:val="Commentaire"/>
    <w:link w:val="ObjetducommentaireCar"/>
    <w:uiPriority w:val="99"/>
    <w:semiHidden/>
    <w:unhideWhenUsed/>
    <w:qFormat/>
    <w:rsid w:val="00E02D16"/>
    <w:rPr>
      <w:b/>
      <w:bCs/>
    </w:rPr>
  </w:style>
  <w:style w:type="paragraph" w:styleId="Retraitcorpsdetexte3">
    <w:name w:val="Body Text Indent 3"/>
    <w:basedOn w:val="Normal"/>
    <w:link w:val="Retraitcorpsdetexte3Car"/>
    <w:qFormat/>
    <w:rsid w:val="00EB453E"/>
    <w:pPr>
      <w:ind w:left="1701" w:hanging="1701"/>
    </w:pPr>
    <w:rPr>
      <w:rFonts w:ascii="Arial" w:hAnsi="Arial" w:cs="Times New Roman"/>
      <w:color w:val="FF0000"/>
      <w:lang w:eastAsia="fr-FR"/>
    </w:rPr>
  </w:style>
  <w:style w:type="paragraph" w:styleId="Sansinterligne">
    <w:name w:val="No Spacing"/>
    <w:link w:val="SansinterligneCar"/>
    <w:uiPriority w:val="1"/>
    <w:qFormat/>
    <w:rsid w:val="00BE1A88"/>
    <w:pPr>
      <w:jc w:val="both"/>
    </w:pPr>
  </w:style>
  <w:style w:type="paragraph" w:styleId="Paragraphedeliste">
    <w:name w:val="List Paragraph"/>
    <w:basedOn w:val="Normal"/>
    <w:uiPriority w:val="1"/>
    <w:qFormat/>
    <w:rsid w:val="00BE1A88"/>
    <w:pPr>
      <w:spacing w:line="276" w:lineRule="auto"/>
      <w:ind w:left="720"/>
      <w:contextualSpacing/>
    </w:pPr>
  </w:style>
  <w:style w:type="paragraph" w:styleId="Rvision">
    <w:name w:val="Revision"/>
    <w:uiPriority w:val="99"/>
    <w:semiHidden/>
    <w:qFormat/>
    <w:rsid w:val="005F4D89"/>
  </w:style>
  <w:style w:type="paragraph" w:customStyle="1" w:styleId="Default">
    <w:name w:val="Default"/>
    <w:qFormat/>
    <w:rsid w:val="00607C3B"/>
    <w:rPr>
      <w:rFonts w:ascii="Century Schoolbook" w:eastAsia="Calibri" w:hAnsi="Century Schoolbook" w:cs="Century Schoolbook"/>
      <w:color w:val="000000"/>
      <w:sz w:val="24"/>
      <w:szCs w:val="24"/>
    </w:rPr>
  </w:style>
  <w:style w:type="paragraph" w:styleId="NormalWeb">
    <w:name w:val="Normal (Web)"/>
    <w:basedOn w:val="Normal"/>
    <w:qFormat/>
    <w:rsid w:val="000A1C78"/>
    <w:pPr>
      <w:spacing w:beforeAutospacing="1" w:afterAutospacing="1"/>
    </w:pPr>
    <w:rPr>
      <w:rFonts w:ascii="Arial Unicode MS" w:eastAsia="Arial Unicode MS" w:hAnsi="Arial Unicode MS" w:cs="Arial Unicode MS"/>
      <w:sz w:val="24"/>
      <w:szCs w:val="24"/>
      <w:lang w:eastAsia="fr-FR"/>
    </w:rPr>
  </w:style>
  <w:style w:type="table" w:styleId="Grilledutableau">
    <w:name w:val="Table Grid"/>
    <w:basedOn w:val="TableauNormal"/>
    <w:uiPriority w:val="39"/>
    <w:rsid w:val="00001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2">
    <w:name w:val="Grid Table 4 Accent 2"/>
    <w:basedOn w:val="TableauNormal"/>
    <w:uiPriority w:val="49"/>
    <w:rsid w:val="00DE6B3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simple2">
    <w:name w:val="Plain Table 2"/>
    <w:basedOn w:val="TableauNormal"/>
    <w:uiPriority w:val="42"/>
    <w:rsid w:val="00BE1A8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316713">
      <w:bodyDiv w:val="1"/>
      <w:marLeft w:val="0"/>
      <w:marRight w:val="0"/>
      <w:marTop w:val="0"/>
      <w:marBottom w:val="0"/>
      <w:divBdr>
        <w:top w:val="none" w:sz="0" w:space="0" w:color="auto"/>
        <w:left w:val="none" w:sz="0" w:space="0" w:color="auto"/>
        <w:bottom w:val="none" w:sz="0" w:space="0" w:color="auto"/>
        <w:right w:val="none" w:sz="0" w:space="0" w:color="auto"/>
      </w:divBdr>
    </w:div>
    <w:div w:id="1144739019">
      <w:bodyDiv w:val="1"/>
      <w:marLeft w:val="0"/>
      <w:marRight w:val="0"/>
      <w:marTop w:val="0"/>
      <w:marBottom w:val="0"/>
      <w:divBdr>
        <w:top w:val="none" w:sz="0" w:space="0" w:color="auto"/>
        <w:left w:val="none" w:sz="0" w:space="0" w:color="auto"/>
        <w:bottom w:val="none" w:sz="0" w:space="0" w:color="auto"/>
        <w:right w:val="none" w:sz="0" w:space="0" w:color="auto"/>
      </w:divBdr>
    </w:div>
    <w:div w:id="1623731366">
      <w:bodyDiv w:val="1"/>
      <w:marLeft w:val="0"/>
      <w:marRight w:val="0"/>
      <w:marTop w:val="0"/>
      <w:marBottom w:val="0"/>
      <w:divBdr>
        <w:top w:val="none" w:sz="0" w:space="0" w:color="auto"/>
        <w:left w:val="none" w:sz="0" w:space="0" w:color="auto"/>
        <w:bottom w:val="none" w:sz="0" w:space="0" w:color="auto"/>
        <w:right w:val="none" w:sz="0" w:space="0" w:color="auto"/>
      </w:divBdr>
    </w:div>
    <w:div w:id="1697930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tech.fr/rubrique/rubrique-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63F05C7B1664A9B980471D5C45B70" ma:contentTypeVersion="11" ma:contentTypeDescription="Crée un document." ma:contentTypeScope="" ma:versionID="f96cf73606da54fe185420b324d67b9f">
  <xsd:schema xmlns:xsd="http://www.w3.org/2001/XMLSchema" xmlns:xs="http://www.w3.org/2001/XMLSchema" xmlns:p="http://schemas.microsoft.com/office/2006/metadata/properties" xmlns:ns3="8a32238f-9919-47ee-a72a-3de36f4b1514" xmlns:ns4="2bf5e5de-0984-4d06-9c38-163d96a87b06" targetNamespace="http://schemas.microsoft.com/office/2006/metadata/properties" ma:root="true" ma:fieldsID="c576be7207f1908913924b04d2cd90fd" ns3:_="" ns4:_="">
    <xsd:import namespace="8a32238f-9919-47ee-a72a-3de36f4b1514"/>
    <xsd:import namespace="2bf5e5de-0984-4d06-9c38-163d96a87b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2238f-9919-47ee-a72a-3de36f4b15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f5e5de-0984-4d06-9c38-163d96a87b06" elementFormDefault="qualified">
    <xsd:import namespace="http://schemas.microsoft.com/office/2006/documentManagement/types"/>
    <xsd:import namespace="http://schemas.microsoft.com/office/infopath/2007/PartnerControls"/>
    <xsd:element name="SharedWithUsers" ma:index="12"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description="" ma:internalName="SharedWithDetails" ma:readOnly="true">
      <xsd:simpleType>
        <xsd:restriction base="dms:Note">
          <xsd:maxLength value="255"/>
        </xsd:restriction>
      </xsd:simpleType>
    </xsd:element>
    <xsd:element name="SharingHintHash" ma:index="14" nillable="true" ma:displayName="Partage du hachage d’indicateur"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7D01F-0C24-4E4B-996F-D879225AD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2238f-9919-47ee-a72a-3de36f4b1514"/>
    <ds:schemaRef ds:uri="2bf5e5de-0984-4d06-9c38-163d96a87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2BBB7D-8E8D-4E04-AB28-6C8B032959D7}">
  <ds:schemaRefs>
    <ds:schemaRef ds:uri="http://schemas.microsoft.com/sharepoint/v3/contenttype/forms"/>
  </ds:schemaRefs>
</ds:datastoreItem>
</file>

<file path=customXml/itemProps3.xml><?xml version="1.0" encoding="utf-8"?>
<ds:datastoreItem xmlns:ds="http://schemas.openxmlformats.org/officeDocument/2006/customXml" ds:itemID="{C38065DE-AC4E-49F5-86A4-C074174E10EE}">
  <ds:schemaRefs>
    <ds:schemaRef ds:uri="http://schemas.microsoft.com/office/infopath/2007/PartnerControls"/>
    <ds:schemaRef ds:uri="http://schemas.microsoft.com/office/2006/metadata/properties"/>
    <ds:schemaRef ds:uri="http://schemas.microsoft.com/office/2006/documentManagement/types"/>
    <ds:schemaRef ds:uri="2bf5e5de-0984-4d06-9c38-163d96a87b06"/>
    <ds:schemaRef ds:uri="8a32238f-9919-47ee-a72a-3de36f4b1514"/>
    <ds:schemaRef ds:uri="http://purl.org/dc/terms/"/>
    <ds:schemaRef ds:uri="http://purl.org/dc/elements/1.1/"/>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470C723-5866-451A-AAD9-2F5C7D2F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Pages>
  <Words>1170</Words>
  <Characters>6439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Région Grand Est</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LORAIN Caroline</dc:creator>
  <dc:description/>
  <cp:lastModifiedBy>LORAIN Caroline</cp:lastModifiedBy>
  <cp:revision>4</cp:revision>
  <cp:lastPrinted>2020-01-27T13:17:00Z</cp:lastPrinted>
  <dcterms:created xsi:type="dcterms:W3CDTF">2020-01-16T17:12:00Z</dcterms:created>
  <dcterms:modified xsi:type="dcterms:W3CDTF">2020-01-27T13:37:00Z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0x010100B5863F05C7B1664A9B980471D5C45B70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