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CDE" w:rsidRDefault="003E7CDE" w:rsidP="00107486">
      <w:pPr>
        <w:tabs>
          <w:tab w:val="left" w:pos="3402"/>
          <w:tab w:val="left" w:pos="4111"/>
          <w:tab w:val="left" w:pos="5954"/>
        </w:tabs>
        <w:spacing w:after="120" w:line="288" w:lineRule="auto"/>
        <w:jc w:val="both"/>
        <w:rPr>
          <w:rFonts w:ascii="Arial" w:hAnsi="Arial" w:cs="Arial"/>
          <w:b/>
          <w:color w:val="000080"/>
          <w:highlight w:val="green"/>
        </w:rPr>
      </w:pPr>
      <w:r>
        <w:rPr>
          <w:noProof/>
          <w:lang w:eastAsia="fr-FR"/>
        </w:rPr>
        <w:drawing>
          <wp:inline distT="0" distB="0" distL="0" distR="0" wp14:anchorId="1A522725" wp14:editId="5CB46E56">
            <wp:extent cx="1876425" cy="609600"/>
            <wp:effectExtent l="0" t="0" r="9525" b="0"/>
            <wp:docPr id="3" name="Image 3" descr="https://www.grandest.fr/wp-content/uploads/2024/04/sans-tit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randest.fr/wp-content/uploads/2024/04/sans-titr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00" r="21714"/>
                    <a:stretch/>
                  </pic:blipFill>
                  <pic:spPr bwMode="auto">
                    <a:xfrm>
                      <a:off x="0" y="0"/>
                      <a:ext cx="18764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E7CDE" w:rsidRDefault="003E7CDE" w:rsidP="00107486">
      <w:pPr>
        <w:tabs>
          <w:tab w:val="left" w:pos="3402"/>
          <w:tab w:val="left" w:pos="4111"/>
          <w:tab w:val="left" w:pos="5954"/>
        </w:tabs>
        <w:spacing w:after="120" w:line="288" w:lineRule="auto"/>
        <w:jc w:val="both"/>
        <w:rPr>
          <w:rFonts w:ascii="Arial" w:hAnsi="Arial" w:cs="Arial"/>
          <w:b/>
          <w:color w:val="000080"/>
          <w:highlight w:val="green"/>
        </w:rPr>
      </w:pPr>
    </w:p>
    <w:p w:rsidR="003E7CDE" w:rsidRPr="00EE41CF" w:rsidRDefault="003E7CDE" w:rsidP="003E7CDE">
      <w:pPr>
        <w:spacing w:line="168" w:lineRule="auto"/>
        <w:ind w:left="709" w:hanging="709"/>
        <w:jc w:val="right"/>
        <w:rPr>
          <w:rFonts w:ascii="Arial Black" w:hAnsi="Arial Black" w:cs="Arial"/>
          <w:b/>
          <w:color w:val="000080"/>
          <w:sz w:val="44"/>
          <w:szCs w:val="44"/>
        </w:rPr>
      </w:pPr>
      <w:r>
        <w:rPr>
          <w:rFonts w:ascii="Arial Black" w:hAnsi="Arial Black" w:cs="Arial"/>
          <w:b/>
          <w:color w:val="000080"/>
          <w:sz w:val="44"/>
          <w:szCs w:val="44"/>
        </w:rPr>
        <w:t>Notice environnementale</w:t>
      </w:r>
    </w:p>
    <w:p w:rsidR="003E7CDE" w:rsidRDefault="003E7CDE" w:rsidP="003E7CDE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3E7CDE" w:rsidRDefault="003E7CDE" w:rsidP="003E7CD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>Soutien aux initiatives artistiques et culturelles locales</w:t>
      </w:r>
    </w:p>
    <w:p w:rsidR="003E7CDE" w:rsidRDefault="003E7CDE" w:rsidP="003E7CDE">
      <w:pPr>
        <w:jc w:val="center"/>
        <w:rPr>
          <w:rFonts w:ascii="Arial" w:hAnsi="Arial" w:cs="Arial"/>
          <w:b/>
          <w:sz w:val="32"/>
          <w:szCs w:val="32"/>
        </w:rPr>
      </w:pPr>
    </w:p>
    <w:p w:rsidR="00107486" w:rsidRPr="003E7CDE" w:rsidRDefault="003E7CDE" w:rsidP="003E7CDE">
      <w:pPr>
        <w:spacing w:after="0" w:line="240" w:lineRule="auto"/>
        <w:jc w:val="both"/>
        <w:rPr>
          <w:rFonts w:ascii="Arial" w:hAnsi="Arial" w:cs="Arial"/>
        </w:rPr>
      </w:pPr>
      <w:r w:rsidRPr="003E7CDE">
        <w:rPr>
          <w:rFonts w:ascii="Arial" w:hAnsi="Arial" w:cs="Arial"/>
        </w:rPr>
        <w:t xml:space="preserve">En vertu du règlement d’intervention en vigueur (délibération n° 24CP-1914 du 25 novembre 2024), le porteur de projet devra présenter : </w:t>
      </w:r>
      <w:r w:rsidRPr="003E7CDE">
        <w:rPr>
          <w:rFonts w:ascii="Arial" w:hAnsi="Arial" w:cs="Arial"/>
          <w:b/>
          <w:color w:val="000080"/>
        </w:rPr>
        <w:t>u</w:t>
      </w:r>
      <w:r w:rsidR="00107486" w:rsidRPr="003E7CDE">
        <w:rPr>
          <w:rFonts w:ascii="Arial" w:hAnsi="Arial" w:cs="Arial"/>
          <w:b/>
          <w:color w:val="000080"/>
        </w:rPr>
        <w:t>ne note sur les mesures envisagées en matière d’éco-responsabilité, en s’appuyant sur l’un ou l’autre des outils et ressources existants (ADERE/ADEME, Impact Score, EMERGE, ou équivalents).</w:t>
      </w:r>
    </w:p>
    <w:p w:rsidR="003E7CDE" w:rsidRPr="003E7CDE" w:rsidRDefault="003E7CDE" w:rsidP="003E7CDE">
      <w:pPr>
        <w:tabs>
          <w:tab w:val="left" w:pos="3402"/>
          <w:tab w:val="left" w:pos="4111"/>
          <w:tab w:val="left" w:pos="5954"/>
        </w:tabs>
        <w:spacing w:after="0" w:line="240" w:lineRule="auto"/>
        <w:jc w:val="both"/>
        <w:rPr>
          <w:rFonts w:ascii="Arial" w:hAnsi="Arial" w:cs="Arial"/>
          <w:b/>
          <w:color w:val="000080"/>
        </w:rPr>
      </w:pPr>
    </w:p>
    <w:p w:rsidR="003E7CDE" w:rsidRPr="003E7CDE" w:rsidRDefault="003E7CDE" w:rsidP="003E7CDE">
      <w:pPr>
        <w:tabs>
          <w:tab w:val="left" w:pos="3402"/>
          <w:tab w:val="left" w:pos="4111"/>
          <w:tab w:val="left" w:pos="5954"/>
        </w:tabs>
        <w:spacing w:after="0" w:line="240" w:lineRule="auto"/>
        <w:jc w:val="both"/>
        <w:rPr>
          <w:rFonts w:ascii="Arial" w:hAnsi="Arial" w:cs="Arial"/>
        </w:rPr>
      </w:pPr>
      <w:r w:rsidRPr="003E7CDE">
        <w:rPr>
          <w:rFonts w:ascii="Arial" w:hAnsi="Arial" w:cs="Arial"/>
          <w:b/>
          <w:color w:val="000080"/>
        </w:rPr>
        <w:t xml:space="preserve">Pour être éligibles, </w:t>
      </w:r>
      <w:r w:rsidRPr="003E7CDE">
        <w:rPr>
          <w:rFonts w:ascii="Arial" w:hAnsi="Arial" w:cs="Arial"/>
        </w:rPr>
        <w:t>les projets devront intégrer une démarche de développement durable et engager une évolution de leurs usages et de leurs pratiques, portant notamment sur les sujets suivants (au choix) :</w:t>
      </w:r>
    </w:p>
    <w:p w:rsidR="003E7CDE" w:rsidRPr="003E7CDE" w:rsidRDefault="003E7CDE" w:rsidP="003E7CDE">
      <w:pPr>
        <w:pStyle w:val="Paragraphedeliste"/>
        <w:numPr>
          <w:ilvl w:val="0"/>
          <w:numId w:val="2"/>
        </w:numPr>
        <w:tabs>
          <w:tab w:val="left" w:pos="3402"/>
          <w:tab w:val="left" w:pos="4111"/>
          <w:tab w:val="left" w:pos="5954"/>
        </w:tabs>
        <w:spacing w:after="0" w:line="240" w:lineRule="auto"/>
        <w:jc w:val="both"/>
        <w:rPr>
          <w:rFonts w:ascii="Arial" w:hAnsi="Arial" w:cs="Arial"/>
          <w:color w:val="000080"/>
        </w:rPr>
      </w:pPr>
      <w:proofErr w:type="gramStart"/>
      <w:r w:rsidRPr="003E7CDE">
        <w:rPr>
          <w:rFonts w:ascii="Arial" w:hAnsi="Arial" w:cs="Arial"/>
          <w:color w:val="000080"/>
        </w:rPr>
        <w:t>mobilité</w:t>
      </w:r>
      <w:proofErr w:type="gramEnd"/>
      <w:r w:rsidRPr="003E7CDE">
        <w:rPr>
          <w:rFonts w:ascii="Arial" w:hAnsi="Arial" w:cs="Arial"/>
          <w:color w:val="000080"/>
        </w:rPr>
        <w:t xml:space="preserve"> des publics, des artistes et des œuvres ; </w:t>
      </w:r>
    </w:p>
    <w:p w:rsidR="003E7CDE" w:rsidRPr="003E7CDE" w:rsidRDefault="003E7CDE" w:rsidP="003E7CDE">
      <w:pPr>
        <w:pStyle w:val="Paragraphedeliste"/>
        <w:numPr>
          <w:ilvl w:val="0"/>
          <w:numId w:val="2"/>
        </w:numPr>
        <w:tabs>
          <w:tab w:val="left" w:pos="3402"/>
          <w:tab w:val="left" w:pos="4111"/>
          <w:tab w:val="left" w:pos="5954"/>
        </w:tabs>
        <w:spacing w:after="0" w:line="240" w:lineRule="auto"/>
        <w:jc w:val="both"/>
        <w:rPr>
          <w:rFonts w:ascii="Arial" w:hAnsi="Arial" w:cs="Arial"/>
          <w:color w:val="000080"/>
        </w:rPr>
      </w:pPr>
      <w:proofErr w:type="gramStart"/>
      <w:r w:rsidRPr="003E7CDE">
        <w:rPr>
          <w:rFonts w:ascii="Arial" w:hAnsi="Arial" w:cs="Arial"/>
          <w:color w:val="000080"/>
        </w:rPr>
        <w:t>alimentation</w:t>
      </w:r>
      <w:proofErr w:type="gramEnd"/>
      <w:r w:rsidRPr="003E7CDE">
        <w:rPr>
          <w:rFonts w:ascii="Arial" w:hAnsi="Arial" w:cs="Arial"/>
          <w:color w:val="000080"/>
        </w:rPr>
        <w:t xml:space="preserve"> ; </w:t>
      </w:r>
    </w:p>
    <w:p w:rsidR="003E7CDE" w:rsidRPr="003E7CDE" w:rsidRDefault="003E7CDE" w:rsidP="003E7CDE">
      <w:pPr>
        <w:pStyle w:val="Paragraphedeliste"/>
        <w:numPr>
          <w:ilvl w:val="0"/>
          <w:numId w:val="2"/>
        </w:numPr>
        <w:tabs>
          <w:tab w:val="left" w:pos="3402"/>
          <w:tab w:val="left" w:pos="4111"/>
          <w:tab w:val="left" w:pos="5954"/>
        </w:tabs>
        <w:spacing w:after="0" w:line="240" w:lineRule="auto"/>
        <w:jc w:val="both"/>
        <w:rPr>
          <w:rFonts w:ascii="Arial" w:hAnsi="Arial" w:cs="Arial"/>
          <w:color w:val="000080"/>
        </w:rPr>
      </w:pPr>
      <w:proofErr w:type="gramStart"/>
      <w:r w:rsidRPr="003E7CDE">
        <w:rPr>
          <w:rFonts w:ascii="Arial" w:hAnsi="Arial" w:cs="Arial"/>
          <w:color w:val="000080"/>
        </w:rPr>
        <w:t>consommations</w:t>
      </w:r>
      <w:proofErr w:type="gramEnd"/>
      <w:r w:rsidRPr="003E7CDE">
        <w:rPr>
          <w:rFonts w:ascii="Arial" w:hAnsi="Arial" w:cs="Arial"/>
          <w:color w:val="000080"/>
        </w:rPr>
        <w:t xml:space="preserve"> énergétiques ; </w:t>
      </w:r>
    </w:p>
    <w:p w:rsidR="003E7CDE" w:rsidRPr="003E7CDE" w:rsidRDefault="003E7CDE" w:rsidP="003E7CDE">
      <w:pPr>
        <w:pStyle w:val="Paragraphedeliste"/>
        <w:numPr>
          <w:ilvl w:val="0"/>
          <w:numId w:val="2"/>
        </w:numPr>
        <w:tabs>
          <w:tab w:val="left" w:pos="3402"/>
          <w:tab w:val="left" w:pos="4111"/>
          <w:tab w:val="left" w:pos="5954"/>
        </w:tabs>
        <w:spacing w:after="0" w:line="240" w:lineRule="auto"/>
        <w:jc w:val="both"/>
        <w:rPr>
          <w:rFonts w:ascii="Arial" w:hAnsi="Arial" w:cs="Arial"/>
          <w:color w:val="000080"/>
        </w:rPr>
      </w:pPr>
      <w:proofErr w:type="gramStart"/>
      <w:r w:rsidRPr="003E7CDE">
        <w:rPr>
          <w:rFonts w:ascii="Arial" w:hAnsi="Arial" w:cs="Arial"/>
          <w:color w:val="000080"/>
        </w:rPr>
        <w:t>sobriété</w:t>
      </w:r>
      <w:proofErr w:type="gramEnd"/>
      <w:r w:rsidRPr="003E7CDE">
        <w:rPr>
          <w:rFonts w:ascii="Arial" w:hAnsi="Arial" w:cs="Arial"/>
          <w:color w:val="000080"/>
        </w:rPr>
        <w:t xml:space="preserve"> numérique ;</w:t>
      </w:r>
    </w:p>
    <w:p w:rsidR="003E7CDE" w:rsidRPr="003E7CDE" w:rsidRDefault="003E7CDE" w:rsidP="003E7CDE">
      <w:pPr>
        <w:pStyle w:val="Paragraphedeliste"/>
        <w:numPr>
          <w:ilvl w:val="0"/>
          <w:numId w:val="2"/>
        </w:numPr>
        <w:tabs>
          <w:tab w:val="left" w:pos="3402"/>
          <w:tab w:val="left" w:pos="4111"/>
          <w:tab w:val="left" w:pos="5954"/>
        </w:tabs>
        <w:spacing w:after="0" w:line="240" w:lineRule="auto"/>
        <w:jc w:val="both"/>
        <w:rPr>
          <w:rFonts w:ascii="Arial" w:hAnsi="Arial" w:cs="Arial"/>
          <w:color w:val="000080"/>
        </w:rPr>
      </w:pPr>
      <w:proofErr w:type="gramStart"/>
      <w:r w:rsidRPr="003E7CDE">
        <w:rPr>
          <w:rFonts w:ascii="Arial" w:hAnsi="Arial" w:cs="Arial"/>
          <w:color w:val="000080"/>
        </w:rPr>
        <w:t>économie</w:t>
      </w:r>
      <w:proofErr w:type="gramEnd"/>
      <w:r w:rsidRPr="003E7CDE">
        <w:rPr>
          <w:rFonts w:ascii="Arial" w:hAnsi="Arial" w:cs="Arial"/>
          <w:color w:val="000080"/>
        </w:rPr>
        <w:t xml:space="preserve"> circulaire</w:t>
      </w:r>
      <w:r>
        <w:rPr>
          <w:rFonts w:ascii="Arial" w:hAnsi="Arial" w:cs="Arial"/>
          <w:color w:val="000080"/>
        </w:rPr>
        <w:t xml:space="preserve"> (</w:t>
      </w:r>
      <w:proofErr w:type="spellStart"/>
      <w:r>
        <w:rPr>
          <w:rFonts w:ascii="Arial" w:hAnsi="Arial" w:cs="Arial"/>
          <w:color w:val="000080"/>
        </w:rPr>
        <w:t>éco-conception</w:t>
      </w:r>
      <w:proofErr w:type="spellEnd"/>
      <w:r>
        <w:rPr>
          <w:rFonts w:ascii="Arial" w:hAnsi="Arial" w:cs="Arial"/>
          <w:color w:val="000080"/>
        </w:rPr>
        <w:t>, réemploi…)</w:t>
      </w:r>
      <w:r w:rsidRPr="003E7CDE">
        <w:rPr>
          <w:rFonts w:ascii="Arial" w:hAnsi="Arial" w:cs="Arial"/>
          <w:color w:val="000080"/>
        </w:rPr>
        <w:t xml:space="preserve"> ; </w:t>
      </w:r>
    </w:p>
    <w:p w:rsidR="003E7CDE" w:rsidRPr="003E7CDE" w:rsidRDefault="003E7CDE" w:rsidP="003E7CDE">
      <w:pPr>
        <w:pStyle w:val="Paragraphedeliste"/>
        <w:numPr>
          <w:ilvl w:val="0"/>
          <w:numId w:val="2"/>
        </w:numPr>
        <w:tabs>
          <w:tab w:val="left" w:pos="3402"/>
          <w:tab w:val="left" w:pos="4111"/>
          <w:tab w:val="left" w:pos="5954"/>
        </w:tabs>
        <w:spacing w:after="0" w:line="240" w:lineRule="auto"/>
        <w:jc w:val="both"/>
        <w:rPr>
          <w:rFonts w:ascii="Arial" w:hAnsi="Arial" w:cs="Arial"/>
          <w:color w:val="000080"/>
        </w:rPr>
      </w:pPr>
      <w:proofErr w:type="gramStart"/>
      <w:r w:rsidRPr="003E7CDE">
        <w:rPr>
          <w:rFonts w:ascii="Arial" w:hAnsi="Arial" w:cs="Arial"/>
          <w:color w:val="000080"/>
        </w:rPr>
        <w:t>préservation</w:t>
      </w:r>
      <w:proofErr w:type="gramEnd"/>
      <w:r w:rsidRPr="003E7CDE">
        <w:rPr>
          <w:rFonts w:ascii="Arial" w:hAnsi="Arial" w:cs="Arial"/>
          <w:color w:val="000080"/>
        </w:rPr>
        <w:t xml:space="preserve"> des ressources naturelles et sensibilisation à l’environnement.</w:t>
      </w:r>
    </w:p>
    <w:p w:rsidR="003E7CDE" w:rsidRPr="003E7CDE" w:rsidRDefault="003E7CDE" w:rsidP="003E7CDE">
      <w:pPr>
        <w:tabs>
          <w:tab w:val="left" w:pos="3402"/>
          <w:tab w:val="left" w:pos="4111"/>
          <w:tab w:val="left" w:pos="5954"/>
        </w:tabs>
        <w:spacing w:after="0" w:line="240" w:lineRule="auto"/>
        <w:jc w:val="both"/>
        <w:rPr>
          <w:rFonts w:ascii="Arial" w:hAnsi="Arial" w:cs="Arial"/>
          <w:b/>
          <w:color w:val="000080"/>
        </w:rPr>
      </w:pPr>
    </w:p>
    <w:p w:rsidR="003E7CDE" w:rsidRDefault="003E7CDE" w:rsidP="00107486">
      <w:pPr>
        <w:tabs>
          <w:tab w:val="left" w:pos="3402"/>
          <w:tab w:val="left" w:pos="4111"/>
          <w:tab w:val="left" w:pos="5954"/>
        </w:tabs>
        <w:spacing w:after="120" w:line="288" w:lineRule="auto"/>
        <w:jc w:val="both"/>
        <w:rPr>
          <w:rFonts w:ascii="Arial" w:hAnsi="Arial" w:cs="Arial"/>
          <w:b/>
          <w:color w:val="000080"/>
        </w:rPr>
      </w:pPr>
      <w:r>
        <w:rPr>
          <w:rFonts w:ascii="Arial" w:hAnsi="Arial" w:cs="Arial"/>
          <w:b/>
          <w:color w:val="000080"/>
        </w:rPr>
        <w:t>Vous détaillerez dans le présent document les mesures prises pour répondre à l’un ou l’autre de ces différents objectifs et vous joindrez les documents attestant du diagnostic préalable.</w:t>
      </w:r>
    </w:p>
    <w:tbl>
      <w:tblPr>
        <w:tblStyle w:val="Grilledutableau"/>
        <w:tblpPr w:leftFromText="141" w:rightFromText="141" w:vertAnchor="text" w:horzAnchor="margin" w:tblpY="197"/>
        <w:tblW w:w="0" w:type="auto"/>
        <w:tblLook w:val="04A0" w:firstRow="1" w:lastRow="0" w:firstColumn="1" w:lastColumn="0" w:noHBand="0" w:noVBand="1"/>
      </w:tblPr>
      <w:tblGrid>
        <w:gridCol w:w="10383"/>
      </w:tblGrid>
      <w:tr w:rsidR="003E7CDE" w:rsidRPr="004C0ECA" w:rsidTr="003E7CDE">
        <w:trPr>
          <w:trHeight w:val="6653"/>
        </w:trPr>
        <w:tc>
          <w:tcPr>
            <w:tcW w:w="10383" w:type="dxa"/>
          </w:tcPr>
          <w:p w:rsidR="003E7CDE" w:rsidRDefault="003E7CDE" w:rsidP="003E7CDE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</w:rPr>
            </w:pPr>
          </w:p>
          <w:p w:rsidR="003E7CDE" w:rsidRDefault="003E7CDE" w:rsidP="003E7CDE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</w:rPr>
            </w:pPr>
          </w:p>
          <w:p w:rsidR="003E7CDE" w:rsidRDefault="003E7CDE" w:rsidP="003E7CDE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</w:rPr>
            </w:pPr>
          </w:p>
          <w:p w:rsidR="003E7CDE" w:rsidRDefault="003E7CDE" w:rsidP="003E7CDE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</w:rPr>
            </w:pPr>
          </w:p>
          <w:p w:rsidR="003E7CDE" w:rsidRDefault="003E7CDE" w:rsidP="003E7CDE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</w:rPr>
            </w:pPr>
          </w:p>
          <w:p w:rsidR="003E7CDE" w:rsidRDefault="003E7CDE" w:rsidP="003E7CDE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</w:rPr>
            </w:pPr>
          </w:p>
          <w:p w:rsidR="003E7CDE" w:rsidRDefault="003E7CDE" w:rsidP="003E7CDE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</w:rPr>
            </w:pPr>
          </w:p>
          <w:p w:rsidR="003E7CDE" w:rsidRDefault="003E7CDE" w:rsidP="003E7CDE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</w:rPr>
            </w:pPr>
          </w:p>
          <w:p w:rsidR="003E7CDE" w:rsidRDefault="003E7CDE" w:rsidP="003E7CDE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</w:rPr>
            </w:pPr>
          </w:p>
          <w:p w:rsidR="003E7CDE" w:rsidRDefault="003E7CDE" w:rsidP="003E7CDE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</w:rPr>
            </w:pPr>
          </w:p>
          <w:p w:rsidR="003E7CDE" w:rsidRDefault="003E7CDE" w:rsidP="003E7CDE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</w:rPr>
            </w:pPr>
          </w:p>
          <w:p w:rsidR="003E7CDE" w:rsidRDefault="003E7CDE" w:rsidP="003E7CDE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</w:rPr>
            </w:pPr>
          </w:p>
          <w:p w:rsidR="003E7CDE" w:rsidRDefault="003E7CDE" w:rsidP="003E7CDE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</w:rPr>
            </w:pPr>
          </w:p>
          <w:p w:rsidR="003E7CDE" w:rsidRDefault="003E7CDE" w:rsidP="003E7CDE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</w:rPr>
            </w:pPr>
          </w:p>
          <w:p w:rsidR="003E7CDE" w:rsidRDefault="003E7CDE" w:rsidP="003E7CDE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</w:rPr>
            </w:pPr>
          </w:p>
          <w:p w:rsidR="003E7CDE" w:rsidRDefault="003E7CDE" w:rsidP="003E7CDE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</w:rPr>
            </w:pPr>
          </w:p>
          <w:p w:rsidR="003E7CDE" w:rsidRDefault="003E7CDE" w:rsidP="003E7CDE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</w:rPr>
            </w:pPr>
          </w:p>
          <w:p w:rsidR="003E7CDE" w:rsidRPr="004C0ECA" w:rsidRDefault="003E7CDE" w:rsidP="003E7CDE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</w:tbl>
    <w:p w:rsidR="003E7CDE" w:rsidRDefault="003E7CDE" w:rsidP="00107486">
      <w:pPr>
        <w:tabs>
          <w:tab w:val="left" w:pos="3402"/>
          <w:tab w:val="left" w:pos="4111"/>
          <w:tab w:val="left" w:pos="5954"/>
        </w:tabs>
        <w:spacing w:after="120" w:line="288" w:lineRule="auto"/>
        <w:jc w:val="both"/>
        <w:rPr>
          <w:rFonts w:ascii="Arial" w:hAnsi="Arial" w:cs="Arial"/>
          <w:b/>
          <w:color w:val="000080"/>
        </w:rPr>
      </w:pPr>
    </w:p>
    <w:p w:rsidR="00794B1F" w:rsidRDefault="00794B1F"/>
    <w:p w:rsidR="00A826BE" w:rsidRDefault="00A826BE" w:rsidP="00A826BE">
      <w:pPr>
        <w:rPr>
          <w:rFonts w:ascii="Arial" w:hAnsi="Arial" w:cs="Arial"/>
        </w:rPr>
      </w:pPr>
      <w:r>
        <w:rPr>
          <w:rFonts w:ascii="Arial" w:hAnsi="Arial" w:cs="Arial"/>
        </w:rPr>
        <w:t>Liens et outils ressources disponibles en ligne ou auprès de certaines structures et organismes :</w:t>
      </w:r>
    </w:p>
    <w:p w:rsidR="00A826BE" w:rsidRDefault="00A826BE" w:rsidP="00A826BE"/>
    <w:p w:rsidR="00A826BE" w:rsidRDefault="00A826BE" w:rsidP="00A826BE">
      <w:hyperlink r:id="rId6" w:history="1">
        <w:r w:rsidRPr="00AB60D0">
          <w:rPr>
            <w:rStyle w:val="Lienhypertexte"/>
          </w:rPr>
          <w:t>https://evenementresponsable.ademe.fr/</w:t>
        </w:r>
      </w:hyperlink>
    </w:p>
    <w:p w:rsidR="00A826BE" w:rsidRDefault="00D93784" w:rsidP="00D93784">
      <w:pPr>
        <w:pStyle w:val="Paragraphedeliste"/>
        <w:numPr>
          <w:ilvl w:val="0"/>
          <w:numId w:val="2"/>
        </w:numPr>
        <w:jc w:val="both"/>
      </w:pPr>
      <w:r>
        <w:t xml:space="preserve">L’ADERE (pour Auto Diagnostic Environnemental pour les Responsables d’Évènements) est un outil gratuit mis en place par l’ADEME (Agence nationale de la transition écologique) permettant d’évaluer </w:t>
      </w:r>
      <w:r w:rsidR="00A826BE">
        <w:t>la démarche d’écoconception de votre événement</w:t>
      </w:r>
      <w:r>
        <w:t xml:space="preserve">, </w:t>
      </w:r>
      <w:r w:rsidR="00A826BE">
        <w:t>de sa conception à sa réalisation.</w:t>
      </w:r>
    </w:p>
    <w:p w:rsidR="00D93784" w:rsidRDefault="00D93784" w:rsidP="00D93784">
      <w:pPr>
        <w:jc w:val="both"/>
      </w:pPr>
    </w:p>
    <w:p w:rsidR="00D93784" w:rsidRDefault="003C0479" w:rsidP="00D93784">
      <w:pPr>
        <w:jc w:val="both"/>
      </w:pPr>
      <w:hyperlink r:id="rId7" w:history="1">
        <w:r w:rsidRPr="00AB60D0">
          <w:rPr>
            <w:rStyle w:val="Lienhypertexte"/>
          </w:rPr>
          <w:t>https://seeds.arviva.org/</w:t>
        </w:r>
      </w:hyperlink>
      <w:r>
        <w:t xml:space="preserve"> </w:t>
      </w:r>
    </w:p>
    <w:p w:rsidR="00D93784" w:rsidRDefault="003C0479" w:rsidP="009E0A9E">
      <w:pPr>
        <w:pStyle w:val="Paragraphedeliste"/>
        <w:numPr>
          <w:ilvl w:val="0"/>
          <w:numId w:val="2"/>
        </w:numPr>
        <w:jc w:val="both"/>
      </w:pPr>
      <w:r>
        <w:t>Via l’association nationale ARVIVA (Arts vivants arts durables), le secteur du spectacle vivant s’est doté d’</w:t>
      </w:r>
      <w:r w:rsidR="000A7922">
        <w:t xml:space="preserve">un calculateur dédié, intitulé SEEDS (et de sa version simplifiée </w:t>
      </w:r>
      <w:proofErr w:type="spellStart"/>
      <w:r w:rsidR="000A7922">
        <w:t>SEEDy</w:t>
      </w:r>
      <w:proofErr w:type="spellEnd"/>
      <w:r w:rsidR="000A7922">
        <w:t>)</w:t>
      </w:r>
      <w:r w:rsidR="009E0A9E">
        <w:t xml:space="preserve">, </w:t>
      </w:r>
      <w:r w:rsidR="009E0A9E" w:rsidRPr="009E0A9E">
        <w:t>simple d’utilisation et adapté aux activités des structures du spectacle vivant (compagnies, lieux, festivals) et à leurs activités diverses (création, production, diffusion notamment).</w:t>
      </w:r>
    </w:p>
    <w:p w:rsidR="003C0479" w:rsidRDefault="003C0479" w:rsidP="003C0479">
      <w:pPr>
        <w:jc w:val="both"/>
      </w:pPr>
    </w:p>
    <w:p w:rsidR="003C0479" w:rsidRDefault="009E0A9E" w:rsidP="003C0479">
      <w:pPr>
        <w:jc w:val="both"/>
      </w:pPr>
      <w:hyperlink r:id="rId8" w:history="1">
        <w:r w:rsidRPr="00AB60D0">
          <w:rPr>
            <w:rStyle w:val="Lienhypertexte"/>
          </w:rPr>
          <w:t>https://emer-ge.fr/</w:t>
        </w:r>
      </w:hyperlink>
    </w:p>
    <w:p w:rsidR="009E0A9E" w:rsidRDefault="009E0A9E" w:rsidP="009E0A9E">
      <w:pPr>
        <w:pStyle w:val="Paragraphedeliste"/>
        <w:numPr>
          <w:ilvl w:val="0"/>
          <w:numId w:val="2"/>
        </w:numPr>
        <w:jc w:val="both"/>
      </w:pPr>
      <w:r>
        <w:t>Le réseau « </w:t>
      </w:r>
      <w:proofErr w:type="spellStart"/>
      <w:r w:rsidRPr="009E0A9E">
        <w:t>ÉMeRGE</w:t>
      </w:r>
      <w:proofErr w:type="spellEnd"/>
      <w:r w:rsidRPr="009E0A9E">
        <w:t xml:space="preserve"> » </w:t>
      </w:r>
      <w:r>
        <w:t>(</w:t>
      </w:r>
      <w:r w:rsidRPr="009E0A9E">
        <w:t>pour Éco-Manifestations Réseau Grand Est</w:t>
      </w:r>
      <w:r>
        <w:t>), couvre</w:t>
      </w:r>
      <w:r w:rsidRPr="009E0A9E">
        <w:t xml:space="preserve"> l’ensemble du territoire avec Éco-Manifestations Alsace (EMA), Éco-Manifestations Champagne-Ardenne (EMCA), Éco-Manifestations Vosges (EMV) et Éco-Manifestations Moselle, Me</w:t>
      </w:r>
      <w:r>
        <w:t>urthe-et-Moselle et Meuse (E5M) pour accompagner les organisateurs d’évènements à partir d’une méthodologie commune, l’établissement d’une charte (</w:t>
      </w:r>
      <w:hyperlink r:id="rId9" w:history="1">
        <w:r w:rsidRPr="00AB60D0">
          <w:rPr>
            <w:rStyle w:val="Lienhypertexte"/>
          </w:rPr>
          <w:t>https://emer-ge.fr/la-charte/</w:t>
        </w:r>
      </w:hyperlink>
      <w:r>
        <w:t xml:space="preserve">) et propose également un annuaire en ligne des prestataires </w:t>
      </w:r>
      <w:proofErr w:type="spellStart"/>
      <w:r>
        <w:t>éco-responsables</w:t>
      </w:r>
      <w:proofErr w:type="spellEnd"/>
      <w:r>
        <w:t xml:space="preserve"> en Grand Est (</w:t>
      </w:r>
      <w:hyperlink r:id="rId10" w:history="1">
        <w:r w:rsidRPr="00AB60D0">
          <w:rPr>
            <w:rStyle w:val="Lienhypertexte"/>
          </w:rPr>
          <w:t>https://emer-ge.fr/annuaire/</w:t>
        </w:r>
      </w:hyperlink>
      <w:r>
        <w:t>).</w:t>
      </w:r>
      <w:bookmarkStart w:id="0" w:name="_GoBack"/>
      <w:bookmarkEnd w:id="0"/>
    </w:p>
    <w:p w:rsidR="009E0A9E" w:rsidRDefault="009E0A9E" w:rsidP="009E0A9E">
      <w:pPr>
        <w:jc w:val="both"/>
      </w:pPr>
    </w:p>
    <w:p w:rsidR="00D93784" w:rsidRDefault="00D93784" w:rsidP="00D93784">
      <w:pPr>
        <w:jc w:val="both"/>
      </w:pPr>
    </w:p>
    <w:sectPr w:rsidR="00D93784" w:rsidSect="001074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A71E1"/>
    <w:multiLevelType w:val="hybridMultilevel"/>
    <w:tmpl w:val="877E5F74"/>
    <w:lvl w:ilvl="0" w:tplc="4496942A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3040EF"/>
    <w:multiLevelType w:val="hybridMultilevel"/>
    <w:tmpl w:val="93940FAC"/>
    <w:lvl w:ilvl="0" w:tplc="CCDA78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D168CB"/>
    <w:multiLevelType w:val="hybridMultilevel"/>
    <w:tmpl w:val="10469C66"/>
    <w:lvl w:ilvl="0" w:tplc="263AE4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486"/>
    <w:rsid w:val="000A7922"/>
    <w:rsid w:val="00107486"/>
    <w:rsid w:val="003C0479"/>
    <w:rsid w:val="003E7CDE"/>
    <w:rsid w:val="00794B1F"/>
    <w:rsid w:val="009E0A9E"/>
    <w:rsid w:val="00A826BE"/>
    <w:rsid w:val="00D9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77D89"/>
  <w15:chartTrackingRefBased/>
  <w15:docId w15:val="{5F7772CD-E9AE-48BC-AAAE-C5F72E8DA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07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E7CD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E7C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7CDE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A826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er-ge.f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eds.arviva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venementresponsable.ademe.fr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emer-ge.fr/annuair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mer-ge.fr/la-chart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412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Grand Est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MATHIEU Laurent</dc:creator>
  <cp:keywords/>
  <dc:description/>
  <cp:lastModifiedBy>MATHIEU Laurent</cp:lastModifiedBy>
  <cp:revision>6</cp:revision>
  <cp:lastPrinted>2025-02-17T16:52:00Z</cp:lastPrinted>
  <dcterms:created xsi:type="dcterms:W3CDTF">2025-02-17T09:21:00Z</dcterms:created>
  <dcterms:modified xsi:type="dcterms:W3CDTF">2025-02-18T11:55:00Z</dcterms:modified>
</cp:coreProperties>
</file>